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9686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Organograma do CAU/MT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</w:t>
      </w:r>
      <w:r>
        <w:rPr>
          <w:rFonts w:cs="Times New Roman"/>
          <w:b/>
        </w:rPr>
        <w:t>6</w:t>
      </w:r>
      <w:r>
        <w:rPr>
          <w:rFonts w:cs="Times New Roman"/>
          <w:b/>
        </w:rPr>
        <w:t>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A Comissão </w:t>
      </w:r>
      <w:r>
        <w:rPr>
          <w:rFonts w:cs="Times New Roman"/>
          <w:b w:val="false"/>
          <w:bCs w:val="false"/>
          <w:sz w:val="22"/>
          <w:szCs w:val="22"/>
        </w:rPr>
        <w:t>delibera alteração do Organograma do CAU/MT conforme Anexo I.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14 de março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2017-02-21T18:00:54Z</cp:lastPrinted>
  <dcterms:modified xsi:type="dcterms:W3CDTF">2017-01-26T16:01:00Z</dcterms:modified>
  <cp:revision>6</cp:revision>
</cp:coreProperties>
</file>