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34047A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34047A" w:rsidRDefault="00B3042C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4047A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34047A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4047A">
              <w:rPr>
                <w:rFonts w:ascii="Times New Roman" w:hAnsi="Times New Roman"/>
                <w:sz w:val="22"/>
                <w:szCs w:val="22"/>
              </w:rPr>
              <w:t xml:space="preserve">OFÍCIO </w:t>
            </w:r>
          </w:p>
        </w:tc>
      </w:tr>
      <w:tr w:rsidR="007F6B36" w:rsidRPr="0034047A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36" w:rsidRPr="0034047A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4047A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36" w:rsidRPr="0034047A" w:rsidRDefault="003E1359" w:rsidP="00B7250B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1057204/2020</w:t>
            </w:r>
          </w:p>
        </w:tc>
      </w:tr>
      <w:tr w:rsidR="007F6B36" w:rsidRPr="0034047A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36" w:rsidRPr="0034047A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4047A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36" w:rsidRPr="0034047A" w:rsidRDefault="00930604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João Antônio Silva Neto</w:t>
            </w:r>
          </w:p>
        </w:tc>
      </w:tr>
    </w:tbl>
    <w:p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34047A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34047A" w:rsidRDefault="00B3042C" w:rsidP="00B7250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047A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34047A">
              <w:rPr>
                <w:rFonts w:ascii="Times New Roman" w:hAnsi="Times New Roman"/>
                <w:b/>
                <w:sz w:val="22"/>
                <w:szCs w:val="22"/>
              </w:rPr>
              <w:t>ELIBERAÇÃO CED-CAU/MT nº</w:t>
            </w:r>
            <w:r w:rsidR="00B60354">
              <w:rPr>
                <w:rFonts w:ascii="Times New Roman" w:hAnsi="Times New Roman"/>
                <w:b/>
                <w:sz w:val="22"/>
                <w:szCs w:val="22"/>
              </w:rPr>
              <w:t>159</w:t>
            </w:r>
            <w:r w:rsidRPr="0034047A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</w:p>
        </w:tc>
      </w:tr>
    </w:tbl>
    <w:p w:rsidR="00B3042C" w:rsidRPr="0034047A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:rsidR="00107577" w:rsidRDefault="00107577" w:rsidP="00107577">
      <w:pPr>
        <w:tabs>
          <w:tab w:val="left" w:pos="1418"/>
        </w:tabs>
        <w:jc w:val="both"/>
      </w:pPr>
      <w:r>
        <w:rPr>
          <w:rFonts w:ascii="Times New Roman" w:hAnsi="Times New Roman"/>
          <w:sz w:val="22"/>
          <w:szCs w:val="22"/>
        </w:rPr>
        <w:t xml:space="preserve">A </w:t>
      </w:r>
      <w:r>
        <w:rPr>
          <w:rFonts w:ascii="Times New Roman" w:hAnsi="Times New Roman"/>
          <w:b/>
          <w:sz w:val="22"/>
          <w:szCs w:val="22"/>
        </w:rPr>
        <w:t>COMISSÃO DE ÉTICA E DISCIPLINA – CED-CAU/MT</w:t>
      </w:r>
      <w:r>
        <w:rPr>
          <w:rFonts w:ascii="Times New Roman" w:hAnsi="Times New Roman"/>
          <w:sz w:val="22"/>
          <w:szCs w:val="22"/>
        </w:rPr>
        <w:t xml:space="preserve">, reunida extraordinariamente de maneira virtual (aplicativo Microsoft </w:t>
      </w:r>
      <w:proofErr w:type="spellStart"/>
      <w:r>
        <w:rPr>
          <w:rFonts w:ascii="Times New Roman" w:hAnsi="Times New Roman"/>
          <w:sz w:val="22"/>
          <w:szCs w:val="22"/>
        </w:rPr>
        <w:t>Teams</w:t>
      </w:r>
      <w:proofErr w:type="spellEnd"/>
      <w:r>
        <w:rPr>
          <w:rFonts w:ascii="Times New Roman" w:hAnsi="Times New Roman"/>
          <w:sz w:val="22"/>
          <w:szCs w:val="22"/>
        </w:rPr>
        <w:t>), no dia</w:t>
      </w:r>
      <w:r>
        <w:rPr>
          <w:rStyle w:val="nfase"/>
          <w:rFonts w:ascii="Times New Roman" w:hAnsi="Times New Roman"/>
          <w:iCs/>
          <w:sz w:val="22"/>
          <w:szCs w:val="22"/>
        </w:rPr>
        <w:t xml:space="preserve"> 16 de novembro </w:t>
      </w:r>
      <w:proofErr w:type="gramStart"/>
      <w:r>
        <w:rPr>
          <w:rStyle w:val="nfase"/>
          <w:rFonts w:ascii="Times New Roman" w:hAnsi="Times New Roman"/>
          <w:iCs/>
          <w:sz w:val="22"/>
          <w:szCs w:val="22"/>
        </w:rPr>
        <w:t>de  2020</w:t>
      </w:r>
      <w:proofErr w:type="gramEnd"/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90C5B" w:rsidRPr="00260765" w:rsidRDefault="00890C5B" w:rsidP="00890C5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Pr="00260765">
        <w:rPr>
          <w:rFonts w:ascii="Times New Roman" w:hAnsi="Times New Roman"/>
          <w:sz w:val="22"/>
          <w:szCs w:val="22"/>
          <w:lang w:eastAsia="pt-BR"/>
        </w:rPr>
        <w:t>a</w:t>
      </w:r>
      <w:r w:rsidRPr="00890C5B">
        <w:rPr>
          <w:rFonts w:ascii="Times New Roman" w:hAnsi="Times New Roman"/>
          <w:sz w:val="22"/>
          <w:szCs w:val="22"/>
          <w:lang w:eastAsia="pt-BR"/>
        </w:rPr>
        <w:t>presentada a defesa pelo denunciado, o relator deverá delimitar as questões apresentadas pelas partes e proferir despacho com a indicação dos pontos controversos e das provas necessár</w:t>
      </w:r>
      <w:r w:rsidRPr="00260765">
        <w:rPr>
          <w:rFonts w:ascii="Times New Roman" w:hAnsi="Times New Roman"/>
          <w:sz w:val="22"/>
          <w:szCs w:val="22"/>
          <w:lang w:eastAsia="pt-BR"/>
        </w:rPr>
        <w:t>ias ao esclarecimento dos fatos, conforme art. 31 da Resolução CAU/BR nº 143/2017.</w:t>
      </w:r>
    </w:p>
    <w:p w:rsidR="00890C5B" w:rsidRPr="00260765" w:rsidRDefault="00890C5B" w:rsidP="00890C5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90C5B" w:rsidRPr="00890C5B" w:rsidRDefault="00890C5B" w:rsidP="00890C5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260765">
        <w:rPr>
          <w:rFonts w:ascii="Times New Roman" w:hAnsi="Times New Roman"/>
          <w:sz w:val="22"/>
          <w:szCs w:val="22"/>
          <w:lang w:eastAsia="pt-BR"/>
        </w:rPr>
        <w:t>Considerando que n</w:t>
      </w:r>
      <w:r w:rsidRPr="00890C5B">
        <w:rPr>
          <w:rFonts w:ascii="Times New Roman" w:hAnsi="Times New Roman"/>
          <w:sz w:val="22"/>
          <w:szCs w:val="22"/>
          <w:lang w:eastAsia="pt-BR"/>
        </w:rPr>
        <w:t>ão havendo a necessidade de designação de audiência de instrução nem de produção de outras provas, o relator deverá</w:t>
      </w:r>
      <w:r w:rsidR="00653387">
        <w:rPr>
          <w:rFonts w:ascii="Times New Roman" w:hAnsi="Times New Roman"/>
          <w:sz w:val="22"/>
          <w:szCs w:val="22"/>
          <w:lang w:eastAsia="pt-BR"/>
        </w:rPr>
        <w:t xml:space="preserve"> proferir despacho fundamentado</w:t>
      </w:r>
      <w:r w:rsidRPr="00890C5B">
        <w:rPr>
          <w:rFonts w:ascii="Times New Roman" w:hAnsi="Times New Roman"/>
          <w:sz w:val="22"/>
          <w:szCs w:val="22"/>
          <w:lang w:eastAsia="pt-BR"/>
        </w:rPr>
        <w:t xml:space="preserve"> intimando as partes para apresentação de alegaçõe</w:t>
      </w:r>
      <w:r w:rsidR="00260765" w:rsidRPr="00260765">
        <w:rPr>
          <w:rFonts w:ascii="Times New Roman" w:hAnsi="Times New Roman"/>
          <w:sz w:val="22"/>
          <w:szCs w:val="22"/>
          <w:lang w:eastAsia="pt-BR"/>
        </w:rPr>
        <w:t>s finais, nos termos do art. 47</w:t>
      </w:r>
      <w:r w:rsidR="007A2DBE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260765" w:rsidRPr="00260765">
        <w:rPr>
          <w:rFonts w:ascii="Times New Roman" w:hAnsi="Times New Roman"/>
          <w:sz w:val="22"/>
          <w:szCs w:val="22"/>
          <w:lang w:eastAsia="pt-BR"/>
        </w:rPr>
        <w:t xml:space="preserve"> conforme §2º do art. 31 da Resolução CAU/BR nº 143/2017.</w:t>
      </w:r>
    </w:p>
    <w:p w:rsidR="00260765" w:rsidRDefault="00260765" w:rsidP="00890C5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90C5B" w:rsidRPr="0034047A" w:rsidRDefault="00890C5B" w:rsidP="00890C5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>Considerando o</w:t>
      </w:r>
      <w:r w:rsidR="007A2DBE">
        <w:rPr>
          <w:rFonts w:ascii="Times New Roman" w:hAnsi="Times New Roman"/>
          <w:sz w:val="22"/>
          <w:szCs w:val="22"/>
          <w:lang w:eastAsia="pt-BR"/>
        </w:rPr>
        <w:t xml:space="preserve"> despacho saneador </w:t>
      </w:r>
      <w:r>
        <w:rPr>
          <w:rFonts w:ascii="Times New Roman" w:hAnsi="Times New Roman"/>
          <w:sz w:val="22"/>
          <w:szCs w:val="22"/>
          <w:lang w:eastAsia="pt-BR"/>
        </w:rPr>
        <w:t>expostos pelo (a) relator (a)</w:t>
      </w:r>
      <w:r w:rsidRPr="0034047A">
        <w:rPr>
          <w:rFonts w:ascii="Times New Roman" w:hAnsi="Times New Roman"/>
          <w:sz w:val="22"/>
          <w:szCs w:val="22"/>
          <w:lang w:eastAsia="pt-BR"/>
        </w:rPr>
        <w:t xml:space="preserve"> Conselheiro (a) </w:t>
      </w:r>
      <w:r>
        <w:rPr>
          <w:rFonts w:ascii="Times New Roman" w:hAnsi="Times New Roman"/>
          <w:sz w:val="22"/>
          <w:szCs w:val="22"/>
          <w:lang w:eastAsia="pt-BR"/>
        </w:rPr>
        <w:t>João Antônio Silva Neto.</w:t>
      </w:r>
    </w:p>
    <w:p w:rsidR="00534F70" w:rsidRPr="0034047A" w:rsidRDefault="00534F70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34047A">
        <w:rPr>
          <w:rFonts w:ascii="Times New Roman" w:hAnsi="Times New Roman"/>
          <w:b/>
          <w:sz w:val="22"/>
          <w:szCs w:val="22"/>
        </w:rPr>
        <w:t>DELIBEROU:</w:t>
      </w:r>
    </w:p>
    <w:p w:rsidR="00B3042C" w:rsidRPr="0034047A" w:rsidRDefault="00B3042C" w:rsidP="003E1359">
      <w:pPr>
        <w:shd w:val="clear" w:color="auto" w:fill="FFFFFF" w:themeFill="background1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90C5B" w:rsidRPr="003E1359" w:rsidRDefault="00890C5B" w:rsidP="003E1359">
      <w:pPr>
        <w:pStyle w:val="PargrafodaLista"/>
        <w:numPr>
          <w:ilvl w:val="0"/>
          <w:numId w:val="1"/>
        </w:numPr>
        <w:shd w:val="clear" w:color="auto" w:fill="FFFFFF" w:themeFill="background1"/>
        <w:tabs>
          <w:tab w:val="left" w:pos="1418"/>
        </w:tabs>
        <w:jc w:val="both"/>
        <w:rPr>
          <w:rFonts w:ascii="Times New Roman" w:hAnsi="Times New Roman"/>
          <w:color w:val="0D0D0D" w:themeColor="text1" w:themeTint="F2"/>
          <w:sz w:val="22"/>
          <w:szCs w:val="22"/>
        </w:rPr>
      </w:pPr>
      <w:r w:rsidRPr="003E1359">
        <w:rPr>
          <w:rFonts w:ascii="Times New Roman" w:hAnsi="Times New Roman"/>
          <w:color w:val="0D0D0D" w:themeColor="text1" w:themeTint="F2"/>
          <w:sz w:val="22"/>
          <w:szCs w:val="22"/>
        </w:rPr>
        <w:t xml:space="preserve">Aprovar o </w:t>
      </w:r>
      <w:r w:rsidR="00260765" w:rsidRPr="003E1359">
        <w:rPr>
          <w:rFonts w:ascii="Times New Roman" w:hAnsi="Times New Roman"/>
          <w:color w:val="0D0D0D" w:themeColor="text1" w:themeTint="F2"/>
          <w:sz w:val="22"/>
          <w:szCs w:val="22"/>
        </w:rPr>
        <w:t>indeferimento</w:t>
      </w:r>
      <w:r w:rsidRPr="003E1359">
        <w:rPr>
          <w:rFonts w:ascii="Times New Roman" w:hAnsi="Times New Roman"/>
          <w:color w:val="0D0D0D" w:themeColor="text1" w:themeTint="F2"/>
          <w:sz w:val="22"/>
          <w:szCs w:val="22"/>
        </w:rPr>
        <w:t xml:space="preserve"> </w:t>
      </w:r>
      <w:r w:rsidR="00260765" w:rsidRPr="003E1359">
        <w:rPr>
          <w:rFonts w:ascii="Times New Roman" w:hAnsi="Times New Roman"/>
          <w:color w:val="0D0D0D" w:themeColor="text1" w:themeTint="F2"/>
          <w:sz w:val="22"/>
          <w:szCs w:val="22"/>
        </w:rPr>
        <w:t>d</w:t>
      </w:r>
      <w:r w:rsidRPr="003E1359">
        <w:rPr>
          <w:rFonts w:ascii="Times New Roman" w:hAnsi="Times New Roman"/>
          <w:color w:val="0D0D0D" w:themeColor="text1" w:themeTint="F2"/>
          <w:sz w:val="22"/>
          <w:szCs w:val="22"/>
        </w:rPr>
        <w:t xml:space="preserve">o pedido de inobservância dos requisitos para acatamento da denúncia sumariamente, seja pelo desdobramento contra pessoa jurídica, seja por inexistência de fato típico </w:t>
      </w:r>
      <w:proofErr w:type="spellStart"/>
      <w:r w:rsidRPr="003E1359">
        <w:rPr>
          <w:rFonts w:ascii="Times New Roman" w:hAnsi="Times New Roman"/>
          <w:color w:val="0D0D0D" w:themeColor="text1" w:themeTint="F2"/>
          <w:sz w:val="22"/>
          <w:szCs w:val="22"/>
        </w:rPr>
        <w:t>subsumível</w:t>
      </w:r>
      <w:proofErr w:type="spellEnd"/>
      <w:r w:rsidRPr="003E1359">
        <w:rPr>
          <w:rFonts w:ascii="Times New Roman" w:hAnsi="Times New Roman"/>
          <w:color w:val="0D0D0D" w:themeColor="text1" w:themeTint="F2"/>
          <w:sz w:val="22"/>
          <w:szCs w:val="22"/>
        </w:rPr>
        <w:t xml:space="preserve">, sendo este </w:t>
      </w:r>
      <w:proofErr w:type="gramStart"/>
      <w:r w:rsidRPr="003E1359">
        <w:rPr>
          <w:rFonts w:ascii="Times New Roman" w:hAnsi="Times New Roman"/>
          <w:color w:val="0D0D0D" w:themeColor="text1" w:themeTint="F2"/>
          <w:sz w:val="22"/>
          <w:szCs w:val="22"/>
        </w:rPr>
        <w:t>último matéria</w:t>
      </w:r>
      <w:proofErr w:type="gramEnd"/>
      <w:r w:rsidRPr="003E1359">
        <w:rPr>
          <w:rFonts w:ascii="Times New Roman" w:hAnsi="Times New Roman"/>
          <w:color w:val="0D0D0D" w:themeColor="text1" w:themeTint="F2"/>
          <w:sz w:val="22"/>
          <w:szCs w:val="22"/>
        </w:rPr>
        <w:t xml:space="preserve"> de mérito do processo </w:t>
      </w:r>
      <w:r w:rsidR="008D418E" w:rsidRPr="003E1359">
        <w:rPr>
          <w:rFonts w:ascii="Times New Roman" w:hAnsi="Times New Roman"/>
          <w:color w:val="0D0D0D" w:themeColor="text1" w:themeTint="F2"/>
          <w:sz w:val="22"/>
          <w:szCs w:val="22"/>
        </w:rPr>
        <w:t>ético</w:t>
      </w:r>
      <w:r w:rsidRPr="003E1359">
        <w:rPr>
          <w:rFonts w:ascii="Times New Roman" w:hAnsi="Times New Roman"/>
          <w:color w:val="0D0D0D" w:themeColor="text1" w:themeTint="F2"/>
          <w:sz w:val="22"/>
          <w:szCs w:val="22"/>
        </w:rPr>
        <w:t xml:space="preserve">. </w:t>
      </w:r>
    </w:p>
    <w:p w:rsidR="00260765" w:rsidRDefault="00260765" w:rsidP="00260765">
      <w:pPr>
        <w:pStyle w:val="PargrafodaLista"/>
        <w:tabs>
          <w:tab w:val="left" w:pos="1418"/>
        </w:tabs>
        <w:jc w:val="both"/>
        <w:rPr>
          <w:rFonts w:ascii="Times New Roman" w:hAnsi="Times New Roman"/>
          <w:color w:val="0D0D0D" w:themeColor="text1" w:themeTint="F2"/>
          <w:sz w:val="22"/>
          <w:szCs w:val="22"/>
        </w:rPr>
      </w:pPr>
    </w:p>
    <w:p w:rsidR="00890C5B" w:rsidRDefault="00890C5B" w:rsidP="0026456B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  <w:color w:val="0D0D0D" w:themeColor="text1" w:themeTint="F2"/>
          <w:sz w:val="22"/>
          <w:szCs w:val="22"/>
        </w:rPr>
      </w:pPr>
      <w:r w:rsidRPr="00890C5B">
        <w:rPr>
          <w:rFonts w:ascii="Times New Roman" w:hAnsi="Times New Roman"/>
          <w:color w:val="0D0D0D" w:themeColor="text1" w:themeTint="F2"/>
          <w:sz w:val="22"/>
          <w:szCs w:val="22"/>
        </w:rPr>
        <w:t xml:space="preserve">Aprovar o </w:t>
      </w:r>
      <w:r>
        <w:rPr>
          <w:rFonts w:ascii="Times New Roman" w:hAnsi="Times New Roman"/>
          <w:color w:val="0D0D0D" w:themeColor="text1" w:themeTint="F2"/>
          <w:sz w:val="22"/>
          <w:szCs w:val="22"/>
        </w:rPr>
        <w:t xml:space="preserve">não </w:t>
      </w:r>
      <w:r w:rsidRPr="00890C5B">
        <w:rPr>
          <w:rFonts w:ascii="Times New Roman" w:hAnsi="Times New Roman"/>
          <w:color w:val="0D0D0D" w:themeColor="text1" w:themeTint="F2"/>
          <w:sz w:val="22"/>
          <w:szCs w:val="22"/>
        </w:rPr>
        <w:t xml:space="preserve">“pré-julgamento” </w:t>
      </w:r>
      <w:r w:rsidR="008D418E">
        <w:rPr>
          <w:rFonts w:ascii="Times New Roman" w:hAnsi="Times New Roman"/>
          <w:color w:val="0D0D0D" w:themeColor="text1" w:themeTint="F2"/>
          <w:sz w:val="22"/>
          <w:szCs w:val="22"/>
        </w:rPr>
        <w:t>alegado na defesa, tendo em vista</w:t>
      </w:r>
      <w:r w:rsidRPr="00890C5B">
        <w:rPr>
          <w:rFonts w:ascii="Times New Roman" w:hAnsi="Times New Roman"/>
          <w:color w:val="0D0D0D" w:themeColor="text1" w:themeTint="F2"/>
          <w:sz w:val="22"/>
          <w:szCs w:val="22"/>
        </w:rPr>
        <w:t xml:space="preserve"> ainda que o sigilo </w:t>
      </w:r>
      <w:proofErr w:type="gramStart"/>
      <w:r w:rsidRPr="00890C5B">
        <w:rPr>
          <w:rFonts w:ascii="Times New Roman" w:hAnsi="Times New Roman"/>
          <w:color w:val="0D0D0D" w:themeColor="text1" w:themeTint="F2"/>
          <w:sz w:val="22"/>
          <w:szCs w:val="22"/>
        </w:rPr>
        <w:t>encontra-se</w:t>
      </w:r>
      <w:proofErr w:type="gramEnd"/>
      <w:r w:rsidRPr="00890C5B">
        <w:rPr>
          <w:rFonts w:ascii="Times New Roman" w:hAnsi="Times New Roman"/>
          <w:color w:val="0D0D0D" w:themeColor="text1" w:themeTint="F2"/>
          <w:sz w:val="22"/>
          <w:szCs w:val="22"/>
        </w:rPr>
        <w:t xml:space="preserve"> apenas descrito para a defesa no art. 23, inciso IV, da Resolução º 143/20</w:t>
      </w:r>
      <w:r w:rsidR="008D418E">
        <w:rPr>
          <w:rFonts w:ascii="Times New Roman" w:hAnsi="Times New Roman"/>
          <w:color w:val="0D0D0D" w:themeColor="text1" w:themeTint="F2"/>
          <w:sz w:val="22"/>
          <w:szCs w:val="22"/>
        </w:rPr>
        <w:t xml:space="preserve">17 CAU/BR, quando há indicação, bem como não haver </w:t>
      </w:r>
      <w:r w:rsidRPr="00890C5B">
        <w:rPr>
          <w:rFonts w:ascii="Times New Roman" w:hAnsi="Times New Roman"/>
          <w:color w:val="0D0D0D" w:themeColor="text1" w:themeTint="F2"/>
          <w:sz w:val="22"/>
          <w:szCs w:val="22"/>
        </w:rPr>
        <w:t xml:space="preserve">nos autos </w:t>
      </w:r>
      <w:r w:rsidR="008D418E">
        <w:rPr>
          <w:rFonts w:ascii="Times New Roman" w:hAnsi="Times New Roman"/>
          <w:color w:val="0D0D0D" w:themeColor="text1" w:themeTint="F2"/>
          <w:sz w:val="22"/>
          <w:szCs w:val="22"/>
        </w:rPr>
        <w:t>indicação de</w:t>
      </w:r>
      <w:r w:rsidRPr="00890C5B">
        <w:rPr>
          <w:rFonts w:ascii="Times New Roman" w:hAnsi="Times New Roman"/>
          <w:color w:val="0D0D0D" w:themeColor="text1" w:themeTint="F2"/>
          <w:sz w:val="22"/>
          <w:szCs w:val="22"/>
        </w:rPr>
        <w:t xml:space="preserve"> pedido de sigilo.  </w:t>
      </w:r>
    </w:p>
    <w:p w:rsidR="00260765" w:rsidRPr="00260765" w:rsidRDefault="00260765" w:rsidP="00260765">
      <w:pPr>
        <w:pStyle w:val="PargrafodaLista"/>
        <w:rPr>
          <w:rFonts w:ascii="Times New Roman" w:hAnsi="Times New Roman"/>
          <w:color w:val="0D0D0D" w:themeColor="text1" w:themeTint="F2"/>
          <w:sz w:val="22"/>
          <w:szCs w:val="22"/>
        </w:rPr>
      </w:pPr>
    </w:p>
    <w:p w:rsidR="00890C5B" w:rsidRPr="00260765" w:rsidRDefault="00890C5B" w:rsidP="00260765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  <w:color w:val="0D0D0D" w:themeColor="text1" w:themeTint="F2"/>
          <w:sz w:val="22"/>
          <w:szCs w:val="22"/>
        </w:rPr>
      </w:pPr>
      <w:r w:rsidRPr="00260765">
        <w:rPr>
          <w:rFonts w:ascii="Times New Roman" w:hAnsi="Times New Roman"/>
          <w:color w:val="0D0D0D" w:themeColor="text1" w:themeTint="F2"/>
          <w:sz w:val="22"/>
          <w:szCs w:val="22"/>
        </w:rPr>
        <w:t xml:space="preserve">Aprovar os </w:t>
      </w:r>
      <w:r w:rsidRPr="00260765">
        <w:rPr>
          <w:rFonts w:ascii="Times New Roman" w:hAnsi="Times New Roman"/>
          <w:sz w:val="22"/>
          <w:szCs w:val="22"/>
        </w:rPr>
        <w:t>pontos controvertidos</w:t>
      </w:r>
      <w:r w:rsidR="008D418E">
        <w:rPr>
          <w:rFonts w:ascii="Times New Roman" w:hAnsi="Times New Roman"/>
          <w:sz w:val="22"/>
          <w:szCs w:val="22"/>
        </w:rPr>
        <w:t xml:space="preserve"> do despacho saneador sendo a</w:t>
      </w:r>
      <w:r w:rsidRPr="00260765">
        <w:rPr>
          <w:rFonts w:ascii="Times New Roman" w:hAnsi="Times New Roman"/>
          <w:sz w:val="22"/>
          <w:szCs w:val="22"/>
        </w:rPr>
        <w:t xml:space="preserve">s atividades críticas de trabalho que são realizadas pelos próprios membros autores, bem como se deveria declarar-se </w:t>
      </w:r>
      <w:proofErr w:type="gramStart"/>
      <w:r w:rsidRPr="00260765">
        <w:rPr>
          <w:rFonts w:ascii="Times New Roman" w:hAnsi="Times New Roman"/>
          <w:sz w:val="22"/>
          <w:szCs w:val="22"/>
        </w:rPr>
        <w:t>impedido</w:t>
      </w:r>
      <w:r w:rsidR="008D418E">
        <w:rPr>
          <w:rFonts w:ascii="Times New Roman" w:hAnsi="Times New Roman"/>
          <w:sz w:val="22"/>
          <w:szCs w:val="22"/>
        </w:rPr>
        <w:t>(</w:t>
      </w:r>
      <w:proofErr w:type="gramEnd"/>
      <w:r w:rsidR="008D418E">
        <w:rPr>
          <w:rFonts w:ascii="Times New Roman" w:hAnsi="Times New Roman"/>
          <w:sz w:val="22"/>
          <w:szCs w:val="22"/>
        </w:rPr>
        <w:t>a)</w:t>
      </w:r>
      <w:r w:rsidRPr="00260765">
        <w:rPr>
          <w:rFonts w:ascii="Times New Roman" w:hAnsi="Times New Roman"/>
          <w:sz w:val="22"/>
          <w:szCs w:val="22"/>
        </w:rPr>
        <w:t xml:space="preserve"> de exercer a referida atividade, uma vez que pode haver obtenção vantagens indevida sobre os colegas, assim a prova deve recair sobre a existência de tais fatos. S</w:t>
      </w:r>
      <w:r w:rsidRPr="00260765">
        <w:rPr>
          <w:rFonts w:ascii="Times New Roman" w:hAnsi="Times New Roman"/>
          <w:color w:val="0D0D0D" w:themeColor="text1" w:themeTint="F2"/>
          <w:sz w:val="22"/>
          <w:szCs w:val="22"/>
        </w:rPr>
        <w:t xml:space="preserve">endo que as provas das nomeações exposta no artigo 7º do Estatuto, encontram-se nos autos, no intuito de avaliar o mérito acerca do denunciado se auto intitular possuir conhecimentos superiores aos seus colegas. </w:t>
      </w:r>
    </w:p>
    <w:p w:rsidR="00890C5B" w:rsidRDefault="00890C5B" w:rsidP="00890C5B">
      <w:pPr>
        <w:tabs>
          <w:tab w:val="left" w:pos="1418"/>
        </w:tabs>
        <w:ind w:firstLine="1418"/>
        <w:jc w:val="both"/>
        <w:rPr>
          <w:rFonts w:ascii="Times New Roman" w:hAnsi="Times New Roman"/>
          <w:sz w:val="22"/>
          <w:szCs w:val="22"/>
        </w:rPr>
      </w:pPr>
    </w:p>
    <w:p w:rsidR="00890C5B" w:rsidRPr="00260765" w:rsidRDefault="00260765" w:rsidP="00890C5B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  <w:color w:val="0D0D0D" w:themeColor="text1" w:themeTint="F2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Aprovar o indeferimento do</w:t>
      </w:r>
      <w:r w:rsidR="00890C5B" w:rsidRPr="00890C5B">
        <w:rPr>
          <w:rFonts w:ascii="Times New Roman" w:hAnsi="Times New Roman"/>
          <w:sz w:val="22"/>
          <w:szCs w:val="22"/>
        </w:rPr>
        <w:t xml:space="preserve"> pedido de oitiva das partes, pois a </w:t>
      </w:r>
      <w:proofErr w:type="spellStart"/>
      <w:r w:rsidR="00890C5B" w:rsidRPr="00890C5B">
        <w:rPr>
          <w:rFonts w:ascii="Times New Roman" w:hAnsi="Times New Roman"/>
          <w:sz w:val="22"/>
          <w:szCs w:val="22"/>
        </w:rPr>
        <w:t>denuncia</w:t>
      </w:r>
      <w:proofErr w:type="spellEnd"/>
      <w:r w:rsidR="00890C5B" w:rsidRPr="00890C5B">
        <w:rPr>
          <w:rFonts w:ascii="Times New Roman" w:hAnsi="Times New Roman"/>
          <w:sz w:val="22"/>
          <w:szCs w:val="22"/>
        </w:rPr>
        <w:t xml:space="preserve"> foi instaurada de ofício pela atividade fiscalizadora, portanto sem parte denunciante. Em segundo as alegações de defesa do denunciado, encontram-se encartado nos autos, não havendo necessidade de contradita ou mesmo confissão oral ou mesmo provar algo que já não escreveu na sua defesa. </w:t>
      </w:r>
    </w:p>
    <w:p w:rsidR="00260765" w:rsidRPr="00260765" w:rsidRDefault="00260765" w:rsidP="00260765">
      <w:pPr>
        <w:pStyle w:val="PargrafodaLista"/>
        <w:rPr>
          <w:rFonts w:ascii="Times New Roman" w:hAnsi="Times New Roman"/>
          <w:color w:val="0D0D0D" w:themeColor="text1" w:themeTint="F2"/>
          <w:sz w:val="22"/>
          <w:szCs w:val="22"/>
        </w:rPr>
      </w:pPr>
    </w:p>
    <w:p w:rsidR="00890C5B" w:rsidRPr="00260765" w:rsidRDefault="00890C5B" w:rsidP="00890C5B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  <w:color w:val="0D0D0D" w:themeColor="text1" w:themeTint="F2"/>
          <w:sz w:val="22"/>
          <w:szCs w:val="22"/>
        </w:rPr>
      </w:pPr>
      <w:r w:rsidRPr="00260765">
        <w:rPr>
          <w:rFonts w:ascii="Times New Roman" w:hAnsi="Times New Roman"/>
          <w:color w:val="0D0D0D" w:themeColor="text1" w:themeTint="F2"/>
          <w:sz w:val="22"/>
          <w:szCs w:val="22"/>
        </w:rPr>
        <w:t>Aprovar a intimação da parte denunciada para apresentar alegações finais, no prazo de 5 (cinco) dias, nos termos do art. 31, §2º e art. 47, da Resolução CAU/BR nº 143/2017.</w:t>
      </w:r>
    </w:p>
    <w:p w:rsidR="00890C5B" w:rsidRPr="00890C5B" w:rsidRDefault="00890C5B" w:rsidP="00260765">
      <w:pPr>
        <w:pStyle w:val="PargrafodaLista"/>
        <w:tabs>
          <w:tab w:val="left" w:pos="1418"/>
        </w:tabs>
        <w:jc w:val="both"/>
        <w:rPr>
          <w:rFonts w:ascii="Times New Roman" w:hAnsi="Times New Roman"/>
          <w:color w:val="0D0D0D" w:themeColor="text1" w:themeTint="F2"/>
          <w:sz w:val="22"/>
          <w:szCs w:val="22"/>
        </w:rPr>
      </w:pPr>
    </w:p>
    <w:p w:rsidR="00B3042C" w:rsidRPr="0034047A" w:rsidRDefault="00B3042C" w:rsidP="00260765">
      <w:pPr>
        <w:suppressAutoHyphens w:val="0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GoBack"/>
      <w:bookmarkEnd w:id="0"/>
    </w:p>
    <w:p w:rsidR="00107577" w:rsidRDefault="00107577" w:rsidP="00107577">
      <w:pPr>
        <w:suppressAutoHyphens w:val="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Com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02 votos favoráveis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Vanessa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João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Antonio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Silva Neto;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proofErr w:type="gramStart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01 ausência</w:t>
      </w:r>
      <w:proofErr w:type="gramEnd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do Conselheiro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Marcel de Barros Saad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.</w:t>
      </w:r>
    </w:p>
    <w:p w:rsidR="00BB70BA" w:rsidRDefault="00BB70BA" w:rsidP="00107577">
      <w:pPr>
        <w:suppressAutoHyphens w:val="0"/>
        <w:jc w:val="both"/>
      </w:pPr>
    </w:p>
    <w:p w:rsidR="00107577" w:rsidRDefault="00107577" w:rsidP="00107577">
      <w:pPr>
        <w:pStyle w:val="PargrafodaLista"/>
        <w:suppressAutoHyphens w:val="0"/>
        <w:ind w:left="0"/>
        <w:jc w:val="both"/>
      </w:pPr>
      <w:r>
        <w:rPr>
          <w:rFonts w:ascii="Times New Roman" w:hAnsi="Times New Roman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1A7FAE" wp14:editId="4EA14001">
                <wp:simplePos x="0" y="0"/>
                <wp:positionH relativeFrom="column">
                  <wp:posOffset>3696333</wp:posOffset>
                </wp:positionH>
                <wp:positionV relativeFrom="paragraph">
                  <wp:posOffset>47621</wp:posOffset>
                </wp:positionV>
                <wp:extent cx="866778" cy="269876"/>
                <wp:effectExtent l="0" t="0" r="9522" b="0"/>
                <wp:wrapNone/>
                <wp:docPr id="4" name="Caixa de Texto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8" cy="269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07577" w:rsidRDefault="00107577" w:rsidP="00107577">
                            <w:r>
                              <w:t>AUSENTE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1A7FAE"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291.05pt;margin-top:3.75pt;width:68.25pt;height:21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kT7AEAAMEDAAAOAAAAZHJzL2Uyb0RvYy54bWysU9uO2jAQfa/Uf7D8XgIRTdiIsGpBVJVW&#10;bSV2P2BwHGLJt9qGhH59xw4LdPtWNQ+OxzM+mXPmZPk4KElO3HlhdE1nkyklXDPTCH2o6cvz9sOC&#10;Eh9ANyCN5jU9c08fV+/fLXtb8dx0RjbcEQTRvuptTbsQbJVlnnVcgZ8YyzUmW+MUBAzdIWsc9Iiu&#10;ZJZPp0XWG9dYZxj3Hk83Y5KuEn7bcha+t63ngciaYm8hrS6t+7hmqyVUBwe2E+zSBvxDFwqExo9e&#10;oTYQgByd+AtKCeaMN22YMKMy07aC8cQB2cymb9jsOrA8cUFxvL3K5P8fLPt2+uGIaGo6p0SDwhGt&#10;QQxAGk6e+RAMyWdlVKm3vsLincXyMHw2A0779dzjYSQ/tE7FN9IimEe9z1eNEYswPFwURVmiKRim&#10;8uJhURYRJbtdts6HL9woEjc1dTjCpCycnnwYS19L4re8kaLZCilT4A77tXTkBDjubXou6H+USR2L&#10;tYnXkgEi4AZ8N8LHdBb5jrziLgz7AZNxuzfNGTVAz2N3nXG/KOnRPzX1P4/gOCXyq8YBPczm82i4&#10;FMw/ljkG7j6zv8+AZghV00DJuF2H0aToEgvhSe8si1ImkvbTMWDvSYxbR5ee0SdJzounoxHv41R1&#10;+/NWvwEAAP//AwBQSwMEFAAGAAgAAAAhADefyqvdAAAACAEAAA8AAABkcnMvZG93bnJldi54bWxM&#10;jzFPwzAQhXck/oN1SGzUSaWkUYhTVUgsqAMtDIxufMRp4nOInTb8e44JxtP39N531XZxg7jgFDpP&#10;CtJVAgKp8aajVsH72/NDASJETUYPnlDBNwbY1rc3lS6Nv9IBL8fYCi6hUGoFNsaxlDI0Fp0OKz8i&#10;Mfv0k9ORz6mVZtJXLneDXCdJLp3uiBesHvHJYtMfZ8cj+9DMB/91Tve9/LB9rrNX+6LU/d2yewQR&#10;cYl/YfjVZ3Wo2enkZzJBDAqyYp1yVMEmA8F8kxY5iBODJAFZV/L/A/UPAAAA//8DAFBLAQItABQA&#10;BgAIAAAAIQC2gziS/gAAAOEBAAATAAAAAAAAAAAAAAAAAAAAAABbQ29udGVudF9UeXBlc10ueG1s&#10;UEsBAi0AFAAGAAgAAAAhADj9If/WAAAAlAEAAAsAAAAAAAAAAAAAAAAALwEAAF9yZWxzLy5yZWxz&#10;UEsBAi0AFAAGAAgAAAAhAHHEiRPsAQAAwQMAAA4AAAAAAAAAAAAAAAAALgIAAGRycy9lMm9Eb2Mu&#10;eG1sUEsBAi0AFAAGAAgAAAAhADefyqvdAAAACAEAAA8AAAAAAAAAAAAAAAAARgQAAGRycy9kb3du&#10;cmV2LnhtbFBLBQYAAAAABAAEAPMAAABQBQAAAAA=&#10;" stroked="f">
                <v:textbox style="mso-fit-shape-to-text:t">
                  <w:txbxContent>
                    <w:p w:rsidR="00107577" w:rsidRDefault="00107577" w:rsidP="00107577">
                      <w:r>
                        <w:t>AUSENTE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5256"/>
      </w:tblGrid>
      <w:tr w:rsidR="00107577" w:rsidTr="00357967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marcel de barros saad</w:t>
            </w:r>
          </w:p>
          <w:p w:rsidR="00107577" w:rsidRDefault="00107577" w:rsidP="00357967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107577" w:rsidTr="00357967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107577" w:rsidRDefault="00107577" w:rsidP="00357967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João Antônio Silva Neto</w:t>
            </w:r>
          </w:p>
          <w:p w:rsidR="00107577" w:rsidRDefault="00107577" w:rsidP="0035796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107577" w:rsidRDefault="00107577" w:rsidP="00357967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107577" w:rsidTr="00357967">
        <w:trPr>
          <w:trHeight w:val="206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autoSpaceDE w:val="0"/>
            </w:pPr>
          </w:p>
        </w:tc>
      </w:tr>
      <w:tr w:rsidR="00107577" w:rsidTr="00357967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vanessa bressan koehler                      </w:t>
            </w:r>
          </w:p>
          <w:p w:rsidR="00107577" w:rsidRDefault="00107577" w:rsidP="00357967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107577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07577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80130" w:rsidRPr="0034047A" w:rsidRDefault="00B60354" w:rsidP="00B7250B">
      <w:pPr>
        <w:rPr>
          <w:rFonts w:ascii="Times New Roman" w:hAnsi="Times New Roman"/>
        </w:rPr>
      </w:pPr>
    </w:p>
    <w:sectPr w:rsidR="00B80130" w:rsidRPr="0034047A" w:rsidSect="00B7250B">
      <w:headerReference w:type="default" r:id="rId7"/>
      <w:foot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2C" w:rsidRDefault="00B3042C" w:rsidP="00B3042C">
      <w:r>
        <w:separator/>
      </w:r>
    </w:p>
  </w:endnote>
  <w:endnote w:type="continuationSeparator" w:id="0">
    <w:p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B60354">
          <w:rPr>
            <w:noProof/>
            <w:sz w:val="16"/>
            <w:szCs w:val="16"/>
          </w:rPr>
          <w:t>1</w:t>
        </w:r>
        <w:r w:rsidRPr="00B3042C">
          <w:rPr>
            <w:sz w:val="16"/>
            <w:szCs w:val="16"/>
          </w:rPr>
          <w:fldChar w:fldCharType="end"/>
        </w:r>
        <w:r w:rsidRPr="00B3042C">
          <w:rPr>
            <w:sz w:val="16"/>
            <w:szCs w:val="16"/>
          </w:rPr>
          <w:t>/2</w:t>
        </w:r>
      </w:p>
      <w:p w:rsidR="00B3042C" w:rsidRPr="00B3042C" w:rsidRDefault="00B3042C" w:rsidP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rFonts w:ascii="Times New Roman" w:hAnsi="Times New Roman"/>
            <w:sz w:val="16"/>
            <w:szCs w:val="16"/>
          </w:rPr>
          <w:t>D</w:t>
        </w:r>
        <w:r w:rsidR="0034047A">
          <w:rPr>
            <w:rFonts w:ascii="Times New Roman" w:hAnsi="Times New Roman"/>
            <w:sz w:val="16"/>
            <w:szCs w:val="16"/>
          </w:rPr>
          <w:t xml:space="preserve">ELIBERAÇÃO CED-CAU/MT nº </w:t>
        </w:r>
        <w:r w:rsidR="0034317B">
          <w:rPr>
            <w:rFonts w:ascii="Times New Roman" w:hAnsi="Times New Roman"/>
            <w:sz w:val="16"/>
            <w:szCs w:val="16"/>
          </w:rPr>
          <w:t>15</w:t>
        </w:r>
        <w:r w:rsidR="00B60354">
          <w:rPr>
            <w:rFonts w:ascii="Times New Roman" w:hAnsi="Times New Roman"/>
            <w:sz w:val="16"/>
            <w:szCs w:val="16"/>
          </w:rPr>
          <w:t>9</w:t>
        </w:r>
        <w:r w:rsidRPr="00B3042C">
          <w:rPr>
            <w:rFonts w:ascii="Times New Roman" w:hAnsi="Times New Roman"/>
            <w:sz w:val="16"/>
            <w:szCs w:val="16"/>
          </w:rPr>
          <w:t>/2020</w:t>
        </w:r>
      </w:p>
      <w:p w:rsidR="00B3042C" w:rsidRPr="00B3042C" w:rsidRDefault="00B60354">
        <w:pPr>
          <w:pStyle w:val="Rodap"/>
          <w:jc w:val="center"/>
          <w:rPr>
            <w:sz w:val="16"/>
            <w:szCs w:val="16"/>
          </w:rPr>
        </w:pPr>
      </w:p>
    </w:sdtContent>
  </w:sdt>
  <w:p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7CB537C" wp14:editId="5E4E9968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2C" w:rsidRDefault="00B3042C" w:rsidP="00B3042C">
      <w:r>
        <w:separator/>
      </w:r>
    </w:p>
  </w:footnote>
  <w:footnote w:type="continuationSeparator" w:id="0">
    <w:p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58090C52" wp14:editId="6E2A77FC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2C"/>
    <w:rsid w:val="000C39DE"/>
    <w:rsid w:val="000E1061"/>
    <w:rsid w:val="000F5297"/>
    <w:rsid w:val="00107577"/>
    <w:rsid w:val="001506C4"/>
    <w:rsid w:val="00154E81"/>
    <w:rsid w:val="00174875"/>
    <w:rsid w:val="00260765"/>
    <w:rsid w:val="00273784"/>
    <w:rsid w:val="0034047A"/>
    <w:rsid w:val="0034317B"/>
    <w:rsid w:val="003D0E0E"/>
    <w:rsid w:val="003E1359"/>
    <w:rsid w:val="00471854"/>
    <w:rsid w:val="00534F70"/>
    <w:rsid w:val="005A783E"/>
    <w:rsid w:val="00653387"/>
    <w:rsid w:val="006541CC"/>
    <w:rsid w:val="006B3234"/>
    <w:rsid w:val="006D7207"/>
    <w:rsid w:val="0079511B"/>
    <w:rsid w:val="007A2DBE"/>
    <w:rsid w:val="007F6B36"/>
    <w:rsid w:val="00890C5B"/>
    <w:rsid w:val="008D418E"/>
    <w:rsid w:val="008F56EB"/>
    <w:rsid w:val="00904455"/>
    <w:rsid w:val="00930604"/>
    <w:rsid w:val="009C4836"/>
    <w:rsid w:val="00B3042C"/>
    <w:rsid w:val="00B60354"/>
    <w:rsid w:val="00B7250B"/>
    <w:rsid w:val="00B9517B"/>
    <w:rsid w:val="00BB70BA"/>
    <w:rsid w:val="00C91FA5"/>
    <w:rsid w:val="00D57A70"/>
    <w:rsid w:val="00D6703D"/>
    <w:rsid w:val="00E024F2"/>
    <w:rsid w:val="00E8693C"/>
    <w:rsid w:val="00EC68FF"/>
    <w:rsid w:val="00EE7C09"/>
    <w:rsid w:val="00F64F45"/>
    <w:rsid w:val="00F76940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AEA695"/>
  <w15:docId w15:val="{D3B67C1E-B2F5-42F9-BB73-F8FDF137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 Carvalho dos Santos</dc:creator>
  <cp:keywords/>
  <dc:description/>
  <cp:lastModifiedBy>Thatielle Badini Carvalho dos Santos</cp:lastModifiedBy>
  <cp:revision>3</cp:revision>
  <dcterms:created xsi:type="dcterms:W3CDTF">2020-11-16T23:15:00Z</dcterms:created>
  <dcterms:modified xsi:type="dcterms:W3CDTF">2020-11-16T23:20:00Z</dcterms:modified>
</cp:coreProperties>
</file>