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D80576" w:rsidP="00B7250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1057581/2020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93060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Antônio Silva Neto</w:t>
            </w:r>
          </w:p>
        </w:tc>
      </w:tr>
    </w:tbl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34047A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D805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34047A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50BCC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D8057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>COMISSÃO DE ÉTICA E DISCIPLINA – CED-CAU/MT</w:t>
      </w:r>
      <w:r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16 de novembro </w:t>
      </w:r>
      <w:proofErr w:type="gramStart"/>
      <w:r>
        <w:rPr>
          <w:rStyle w:val="nfase"/>
          <w:rFonts w:ascii="Times New Roman" w:hAnsi="Times New Roman"/>
          <w:iCs/>
          <w:sz w:val="22"/>
          <w:szCs w:val="22"/>
        </w:rPr>
        <w:t>de  2020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260765">
        <w:rPr>
          <w:rFonts w:ascii="Times New Roman" w:hAnsi="Times New Roman"/>
          <w:sz w:val="22"/>
          <w:szCs w:val="22"/>
          <w:lang w:eastAsia="pt-BR"/>
        </w:rPr>
        <w:t>a</w:t>
      </w:r>
      <w:r w:rsidRPr="00890C5B">
        <w:rPr>
          <w:rFonts w:ascii="Times New Roman" w:hAnsi="Times New Roman"/>
          <w:sz w:val="22"/>
          <w:szCs w:val="22"/>
          <w:lang w:eastAsia="pt-BR"/>
        </w:rPr>
        <w:t>presentada a defesa pelo denunciado, o relator deverá delimitar as questões apresentadas pelas partes e proferir despacho com a indicação dos pontos controversos e das provas necessár</w:t>
      </w:r>
      <w:r w:rsidRPr="00260765">
        <w:rPr>
          <w:rFonts w:ascii="Times New Roman" w:hAnsi="Times New Roman"/>
          <w:sz w:val="22"/>
          <w:szCs w:val="22"/>
          <w:lang w:eastAsia="pt-BR"/>
        </w:rPr>
        <w:t>ias ao esclarecimento dos fatos, conforme art. 31 da Resolução CAU/BR nº 143/2017.</w:t>
      </w: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890C5B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60765">
        <w:rPr>
          <w:rFonts w:ascii="Times New Roman" w:hAnsi="Times New Roman"/>
          <w:sz w:val="22"/>
          <w:szCs w:val="22"/>
          <w:lang w:eastAsia="pt-BR"/>
        </w:rPr>
        <w:t>Considerando que n</w:t>
      </w:r>
      <w:r w:rsidRPr="00890C5B">
        <w:rPr>
          <w:rFonts w:ascii="Times New Roman" w:hAnsi="Times New Roman"/>
          <w:sz w:val="22"/>
          <w:szCs w:val="22"/>
          <w:lang w:eastAsia="pt-BR"/>
        </w:rPr>
        <w:t>ão havendo a necessidade de designação de audiência de instrução nem de produção de outras provas, o relator deverá</w:t>
      </w:r>
      <w:r w:rsidR="00653387">
        <w:rPr>
          <w:rFonts w:ascii="Times New Roman" w:hAnsi="Times New Roman"/>
          <w:sz w:val="22"/>
          <w:szCs w:val="22"/>
          <w:lang w:eastAsia="pt-BR"/>
        </w:rPr>
        <w:t xml:space="preserve"> proferir despacho fundamentado</w:t>
      </w:r>
      <w:r w:rsidRPr="00890C5B">
        <w:rPr>
          <w:rFonts w:ascii="Times New Roman" w:hAnsi="Times New Roman"/>
          <w:sz w:val="22"/>
          <w:szCs w:val="22"/>
          <w:lang w:eastAsia="pt-BR"/>
        </w:rPr>
        <w:t xml:space="preserve"> intimando as partes para apresentação de alegaçõe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>s finais, nos termos do art. 47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 xml:space="preserve"> conforme §2º do art. 31 da Resolução CAU/BR nº 143/2017.</w:t>
      </w:r>
    </w:p>
    <w:p w:rsidR="00260765" w:rsidRDefault="00260765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34047A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despacho saneador </w:t>
      </w:r>
      <w:r>
        <w:rPr>
          <w:rFonts w:ascii="Times New Roman" w:hAnsi="Times New Roman"/>
          <w:sz w:val="22"/>
          <w:szCs w:val="22"/>
          <w:lang w:eastAsia="pt-BR"/>
        </w:rPr>
        <w:t>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>
        <w:rPr>
          <w:rFonts w:ascii="Times New Roman" w:hAnsi="Times New Roman"/>
          <w:sz w:val="22"/>
          <w:szCs w:val="22"/>
          <w:lang w:eastAsia="pt-BR"/>
        </w:rPr>
        <w:t>João Antônio Silva Neto.</w:t>
      </w:r>
    </w:p>
    <w:p w:rsidR="00534F70" w:rsidRPr="0034047A" w:rsidRDefault="00534F70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34047A" w:rsidRDefault="00B3042C" w:rsidP="003E1359">
      <w:p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3E1359" w:rsidRDefault="00890C5B" w:rsidP="003E1359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indeferimento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d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o pedido de inobservância dos requisitos para acatamento da denúncia sumariamente, seja pelo desdobramento contra pessoa jurídica, seja por inexistência de fato típico </w:t>
      </w:r>
      <w:proofErr w:type="spell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subsumível</w:t>
      </w:r>
      <w:proofErr w:type="spell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, sendo este </w:t>
      </w:r>
      <w:proofErr w:type="gram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último matéria</w:t>
      </w:r>
      <w:proofErr w:type="gram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de mérito do processo </w:t>
      </w:r>
      <w:r w:rsidR="008D418E" w:rsidRPr="003E1359">
        <w:rPr>
          <w:rFonts w:ascii="Times New Roman" w:hAnsi="Times New Roman"/>
          <w:color w:val="0D0D0D" w:themeColor="text1" w:themeTint="F2"/>
          <w:sz w:val="22"/>
          <w:szCs w:val="22"/>
        </w:rPr>
        <w:t>ético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. </w:t>
      </w:r>
    </w:p>
    <w:p w:rsidR="00260765" w:rsidRDefault="00260765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Default="00890C5B" w:rsidP="0026456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>
        <w:rPr>
          <w:rFonts w:ascii="Times New Roman" w:hAnsi="Times New Roman"/>
          <w:color w:val="0D0D0D" w:themeColor="text1" w:themeTint="F2"/>
          <w:sz w:val="22"/>
          <w:szCs w:val="22"/>
        </w:rPr>
        <w:t xml:space="preserve">não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“pré-julgamento”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alegado na defesa, tendo em vista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ainda que o sigilo </w:t>
      </w:r>
      <w:proofErr w:type="gramStart"/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>encontra-se</w:t>
      </w:r>
      <w:proofErr w:type="gramEnd"/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apenas descrito para a defesa no art. 23, inciso IV, da Resolução º 143/20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 xml:space="preserve">17 CAU/BR, quando há indicação, bem como não haver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nos autos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indicação de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pedido de sigilo. 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26076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os </w:t>
      </w:r>
      <w:r w:rsidRPr="00260765">
        <w:rPr>
          <w:rFonts w:ascii="Times New Roman" w:hAnsi="Times New Roman"/>
          <w:sz w:val="22"/>
          <w:szCs w:val="22"/>
        </w:rPr>
        <w:t>pontos controvertidos</w:t>
      </w:r>
      <w:r w:rsidR="008D418E">
        <w:rPr>
          <w:rFonts w:ascii="Times New Roman" w:hAnsi="Times New Roman"/>
          <w:sz w:val="22"/>
          <w:szCs w:val="22"/>
        </w:rPr>
        <w:t xml:space="preserve"> do despacho saneador sendo a</w:t>
      </w:r>
      <w:r w:rsidRPr="00260765">
        <w:rPr>
          <w:rFonts w:ascii="Times New Roman" w:hAnsi="Times New Roman"/>
          <w:sz w:val="22"/>
          <w:szCs w:val="22"/>
        </w:rPr>
        <w:t xml:space="preserve">s atividades críticas de trabalho que são realizadas pelos próprios membros autores, bem como se deveria declarar-se </w:t>
      </w:r>
      <w:proofErr w:type="gramStart"/>
      <w:r w:rsidRPr="00260765">
        <w:rPr>
          <w:rFonts w:ascii="Times New Roman" w:hAnsi="Times New Roman"/>
          <w:sz w:val="22"/>
          <w:szCs w:val="22"/>
        </w:rPr>
        <w:t>impedido</w:t>
      </w:r>
      <w:r w:rsidR="008D418E">
        <w:rPr>
          <w:rFonts w:ascii="Times New Roman" w:hAnsi="Times New Roman"/>
          <w:sz w:val="22"/>
          <w:szCs w:val="22"/>
        </w:rPr>
        <w:t>(</w:t>
      </w:r>
      <w:proofErr w:type="gramEnd"/>
      <w:r w:rsidR="008D418E">
        <w:rPr>
          <w:rFonts w:ascii="Times New Roman" w:hAnsi="Times New Roman"/>
          <w:sz w:val="22"/>
          <w:szCs w:val="22"/>
        </w:rPr>
        <w:t>a)</w:t>
      </w:r>
      <w:r w:rsidRPr="00260765">
        <w:rPr>
          <w:rFonts w:ascii="Times New Roman" w:hAnsi="Times New Roman"/>
          <w:sz w:val="22"/>
          <w:szCs w:val="22"/>
        </w:rPr>
        <w:t xml:space="preserve"> de exercer a referida atividade, uma vez que pode haver obtenção vantagens indevida sobre os colegas, assim a prova deve recair sobre a existência de tais fatos. S</w:t>
      </w: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endo que as provas das nomeações exposta no artigo 7º do Estatuto, encontram-se nos autos, no intuito de avaliar o mérito acerca do denunciado se auto intitular possuir conhecimentos superiores aos seus colegas. </w:t>
      </w:r>
    </w:p>
    <w:p w:rsidR="00890C5B" w:rsidRDefault="00890C5B" w:rsidP="00890C5B">
      <w:pPr>
        <w:tabs>
          <w:tab w:val="left" w:pos="1418"/>
        </w:tabs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260765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indeferimento do</w:t>
      </w:r>
      <w:r w:rsidR="00890C5B" w:rsidRPr="00890C5B">
        <w:rPr>
          <w:rFonts w:ascii="Times New Roman" w:hAnsi="Times New Roman"/>
          <w:sz w:val="22"/>
          <w:szCs w:val="22"/>
        </w:rPr>
        <w:t xml:space="preserve"> pedido de oitiva das partes, pois a </w:t>
      </w:r>
      <w:proofErr w:type="spellStart"/>
      <w:r w:rsidR="00890C5B" w:rsidRPr="00890C5B">
        <w:rPr>
          <w:rFonts w:ascii="Times New Roman" w:hAnsi="Times New Roman"/>
          <w:sz w:val="22"/>
          <w:szCs w:val="22"/>
        </w:rPr>
        <w:t>denuncia</w:t>
      </w:r>
      <w:proofErr w:type="spellEnd"/>
      <w:r w:rsidR="00890C5B" w:rsidRPr="00890C5B">
        <w:rPr>
          <w:rFonts w:ascii="Times New Roman" w:hAnsi="Times New Roman"/>
          <w:sz w:val="22"/>
          <w:szCs w:val="22"/>
        </w:rPr>
        <w:t xml:space="preserve"> foi instaurada de ofício pela atividade fiscalizadora, portanto sem parte denunciante. Em segundo as alegações de defesa do denunciado, encontram-se encartado nos autos, não havendo necessidade de contradita ou mesmo confissão oral ou mesmo provar algo que já não escreveu na sua defesa.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>Aprovar a intimação da parte denunciada para apresentar alegações finais, no prazo de 5 (cinco) dias, nos termos do art. 31, §2º e art. 47, da Resolução CAU/BR nº 143/2017.</w:t>
      </w:r>
    </w:p>
    <w:p w:rsidR="00890C5B" w:rsidRPr="00890C5B" w:rsidRDefault="00890C5B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B3042C" w:rsidRPr="0034047A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7577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Marcel de Barros Saad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Default="00BB70BA" w:rsidP="00107577">
      <w:pPr>
        <w:suppressAutoHyphens w:val="0"/>
        <w:jc w:val="both"/>
      </w:pPr>
    </w:p>
    <w:p w:rsidR="00107577" w:rsidRDefault="00107577" w:rsidP="00107577">
      <w:pPr>
        <w:pStyle w:val="PargrafodaLista"/>
        <w:suppressAutoHyphens w:val="0"/>
        <w:ind w:left="0"/>
        <w:jc w:val="both"/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A7FAE" wp14:editId="4EA14001">
                <wp:simplePos x="0" y="0"/>
                <wp:positionH relativeFrom="column">
                  <wp:posOffset>3696333</wp:posOffset>
                </wp:positionH>
                <wp:positionV relativeFrom="paragraph">
                  <wp:posOffset>47621</wp:posOffset>
                </wp:positionV>
                <wp:extent cx="866778" cy="269876"/>
                <wp:effectExtent l="0" t="0" r="9522" b="0"/>
                <wp:wrapNone/>
                <wp:docPr id="4" name="Caixa de Tex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7577" w:rsidRDefault="00107577" w:rsidP="00107577">
                            <w: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A7FAE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291.05pt;margin-top:3.75pt;width:68.25pt;height:2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" stroked="f">
                <v:textbox style="mso-fit-shape-to-text:t">
                  <w:txbxContent>
                    <w:p w:rsidR="00107577" w:rsidRDefault="00107577" w:rsidP="00107577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34047A" w:rsidRDefault="009D0474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9D0474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34047A">
          <w:rPr>
            <w:rFonts w:ascii="Times New Roman" w:hAnsi="Times New Roman"/>
            <w:sz w:val="16"/>
            <w:szCs w:val="16"/>
          </w:rPr>
          <w:t xml:space="preserve">ELIBERAÇÃO CED-CAU/MT nº </w:t>
        </w:r>
        <w:r w:rsidR="00D80576">
          <w:rPr>
            <w:rFonts w:ascii="Times New Roman" w:hAnsi="Times New Roman"/>
            <w:sz w:val="16"/>
            <w:szCs w:val="16"/>
          </w:rPr>
          <w:t>161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9D0474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29B110A2" wp14:editId="08D7CFF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0F5297"/>
    <w:rsid w:val="00107577"/>
    <w:rsid w:val="001506C4"/>
    <w:rsid w:val="00154E81"/>
    <w:rsid w:val="00174875"/>
    <w:rsid w:val="00260765"/>
    <w:rsid w:val="00273784"/>
    <w:rsid w:val="0034047A"/>
    <w:rsid w:val="0034317B"/>
    <w:rsid w:val="00346DE9"/>
    <w:rsid w:val="003D0E0E"/>
    <w:rsid w:val="003D724D"/>
    <w:rsid w:val="003E1359"/>
    <w:rsid w:val="00471854"/>
    <w:rsid w:val="00534F70"/>
    <w:rsid w:val="005A783E"/>
    <w:rsid w:val="00653387"/>
    <w:rsid w:val="006541CC"/>
    <w:rsid w:val="006B3234"/>
    <w:rsid w:val="006D7207"/>
    <w:rsid w:val="0079511B"/>
    <w:rsid w:val="007A2DBE"/>
    <w:rsid w:val="007F6B36"/>
    <w:rsid w:val="00890C5B"/>
    <w:rsid w:val="008D418E"/>
    <w:rsid w:val="008F56EB"/>
    <w:rsid w:val="00904455"/>
    <w:rsid w:val="00930604"/>
    <w:rsid w:val="009C4836"/>
    <w:rsid w:val="009D0474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E024F2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EC8DE4"/>
  <w15:docId w15:val="{D3B67C1E-B2F5-42F9-BB73-F8FDF137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4</cp:revision>
  <dcterms:created xsi:type="dcterms:W3CDTF">2020-11-16T23:18:00Z</dcterms:created>
  <dcterms:modified xsi:type="dcterms:W3CDTF">2020-11-16T23:22:00Z</dcterms:modified>
</cp:coreProperties>
</file>