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155CA2" w:rsidRPr="006D25FF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0956FA">
        <w:rPr>
          <w:rFonts w:ascii="Times New Roman" w:hAnsi="Times New Roman"/>
          <w:b/>
          <w:sz w:val="22"/>
          <w:szCs w:val="22"/>
          <w:lang w:eastAsia="pt-BR"/>
        </w:rPr>
        <w:t>81</w:t>
      </w: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>, reunida extraordinariamente de maneira virtual (aplicativo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46AE4" w:rsidRDefault="00155CA2" w:rsidP="00275A91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Considerando</w:t>
      </w:r>
      <w:r w:rsidR="00E46AE4">
        <w:rPr>
          <w:rFonts w:ascii="Times New Roman" w:hAnsi="Times New Roman"/>
          <w:sz w:val="22"/>
          <w:szCs w:val="22"/>
        </w:rPr>
        <w:t xml:space="preserve"> que a parte denunciada mesmo</w:t>
      </w:r>
      <w:r w:rsidRPr="006D25FF">
        <w:rPr>
          <w:rFonts w:ascii="Times New Roman" w:hAnsi="Times New Roman"/>
          <w:sz w:val="22"/>
          <w:szCs w:val="22"/>
        </w:rPr>
        <w:t xml:space="preserve"> </w:t>
      </w:r>
      <w:r w:rsidR="00E46AE4" w:rsidRPr="00E46AE4">
        <w:rPr>
          <w:rFonts w:ascii="Times New Roman" w:hAnsi="Times New Roman"/>
          <w:sz w:val="22"/>
          <w:szCs w:val="22"/>
        </w:rPr>
        <w:t xml:space="preserve">Notificada </w:t>
      </w:r>
      <w:r w:rsidR="00E46AE4">
        <w:rPr>
          <w:rFonts w:ascii="Times New Roman" w:hAnsi="Times New Roman"/>
          <w:sz w:val="22"/>
          <w:szCs w:val="22"/>
        </w:rPr>
        <w:t xml:space="preserve">a </w:t>
      </w:r>
      <w:r w:rsidR="00E46AE4" w:rsidRPr="00E46AE4">
        <w:rPr>
          <w:rFonts w:ascii="Times New Roman" w:hAnsi="Times New Roman"/>
          <w:sz w:val="22"/>
          <w:szCs w:val="22"/>
        </w:rPr>
        <w:t>fl. 86</w:t>
      </w:r>
      <w:r w:rsidR="00E46AE4">
        <w:rPr>
          <w:rFonts w:ascii="Times New Roman" w:hAnsi="Times New Roman"/>
          <w:sz w:val="22"/>
          <w:szCs w:val="22"/>
        </w:rPr>
        <w:t xml:space="preserve"> não apresentou defesa. </w:t>
      </w:r>
    </w:p>
    <w:p w:rsidR="00E46AE4" w:rsidRDefault="00E46AE4" w:rsidP="00275A91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E46AE4" w:rsidP="00275A91">
      <w:pPr>
        <w:ind w:right="1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parecer de revelia, </w:t>
      </w:r>
      <w:r w:rsidR="00275A91">
        <w:rPr>
          <w:rFonts w:ascii="Times New Roman" w:hAnsi="Times New Roman"/>
          <w:sz w:val="22"/>
          <w:szCs w:val="22"/>
        </w:rPr>
        <w:t xml:space="preserve">do Conselheiro Relator João Antônio da Silva Neto, </w:t>
      </w:r>
      <w:r>
        <w:rPr>
          <w:rFonts w:ascii="Times New Roman" w:hAnsi="Times New Roman"/>
          <w:sz w:val="22"/>
          <w:szCs w:val="22"/>
        </w:rPr>
        <w:t xml:space="preserve">declarando os efeitos da revelia, bem como fixando os pontos controvertidos. </w:t>
      </w: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275A91" w:rsidRDefault="007D5C3A" w:rsidP="00275A91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</w:t>
      </w:r>
      <w:r w:rsidR="00275A91">
        <w:rPr>
          <w:rFonts w:ascii="Times New Roman" w:hAnsi="Times New Roman"/>
          <w:sz w:val="22"/>
          <w:szCs w:val="22"/>
        </w:rPr>
        <w:t>parecer que decreta a revelia</w:t>
      </w:r>
      <w:r w:rsidR="00155CA2" w:rsidRPr="006D25FF">
        <w:rPr>
          <w:rFonts w:ascii="Times New Roman" w:hAnsi="Times New Roman"/>
          <w:sz w:val="22"/>
          <w:szCs w:val="22"/>
        </w:rPr>
        <w:t>.</w:t>
      </w:r>
    </w:p>
    <w:p w:rsidR="00275A91" w:rsidRDefault="00275A91" w:rsidP="00275A91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</w:t>
      </w:r>
      <w:r w:rsidRPr="00275A91">
        <w:rPr>
          <w:rFonts w:ascii="Times New Roman" w:hAnsi="Times New Roman"/>
          <w:sz w:val="22"/>
          <w:szCs w:val="22"/>
        </w:rPr>
        <w:t>a não produção de outras provas, tendo em vista conforme fundamentado acima entender que não há necessidade de designação de audiência de instrução, bem como de especificação de outras provas</w:t>
      </w:r>
      <w:r w:rsidR="00155CA2" w:rsidRPr="00275A91">
        <w:rPr>
          <w:rFonts w:ascii="Times New Roman" w:hAnsi="Times New Roman"/>
          <w:sz w:val="22"/>
          <w:szCs w:val="22"/>
        </w:rPr>
        <w:t>.</w:t>
      </w:r>
    </w:p>
    <w:p w:rsidR="00155CA2" w:rsidRPr="00275A91" w:rsidRDefault="007D5C3A" w:rsidP="00275A91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>Notifi</w:t>
      </w:r>
      <w:r w:rsidR="00275A91" w:rsidRPr="00275A91">
        <w:rPr>
          <w:rFonts w:ascii="Times New Roman" w:hAnsi="Times New Roman"/>
          <w:sz w:val="22"/>
          <w:szCs w:val="22"/>
        </w:rPr>
        <w:t>car</w:t>
      </w:r>
      <w:r w:rsidRPr="00275A91">
        <w:rPr>
          <w:rFonts w:ascii="Times New Roman" w:hAnsi="Times New Roman"/>
          <w:sz w:val="22"/>
          <w:szCs w:val="22"/>
        </w:rPr>
        <w:t xml:space="preserve"> as partes interessada</w:t>
      </w:r>
      <w:r w:rsidR="00275A91" w:rsidRPr="00275A91">
        <w:rPr>
          <w:rFonts w:ascii="Times New Roman" w:hAnsi="Times New Roman"/>
          <w:sz w:val="22"/>
          <w:szCs w:val="22"/>
        </w:rPr>
        <w:t>s</w:t>
      </w:r>
      <w:r w:rsidRPr="00275A91">
        <w:rPr>
          <w:rFonts w:ascii="Times New Roman" w:hAnsi="Times New Roman"/>
          <w:sz w:val="22"/>
          <w:szCs w:val="22"/>
        </w:rPr>
        <w:t xml:space="preserve"> </w:t>
      </w:r>
      <w:r w:rsidR="00155CA2" w:rsidRPr="00275A91">
        <w:rPr>
          <w:rFonts w:ascii="Times New Roman" w:hAnsi="Times New Roman"/>
          <w:sz w:val="22"/>
          <w:szCs w:val="22"/>
        </w:rPr>
        <w:t xml:space="preserve">do teor da decisão para, querendo, </w:t>
      </w:r>
      <w:r w:rsidR="00275A91" w:rsidRPr="00275A91">
        <w:rPr>
          <w:rFonts w:ascii="Times New Roman" w:hAnsi="Times New Roman"/>
          <w:sz w:val="22"/>
          <w:szCs w:val="22"/>
        </w:rPr>
        <w:t>apresentar alegações finais no prazo de 5 (cinco) dias</w:t>
      </w:r>
      <w:r w:rsidR="00155CA2" w:rsidRPr="00275A91">
        <w:rPr>
          <w:rFonts w:ascii="Times New Roman" w:hAnsi="Times New Roman"/>
          <w:sz w:val="22"/>
          <w:szCs w:val="22"/>
        </w:rPr>
        <w:t xml:space="preserve">, nos termos do </w:t>
      </w:r>
      <w:r w:rsidR="00275A91" w:rsidRPr="00275A91">
        <w:rPr>
          <w:rFonts w:ascii="Times New Roman" w:hAnsi="Times New Roman"/>
          <w:sz w:val="22"/>
          <w:szCs w:val="22"/>
        </w:rPr>
        <w:t>art. 35, §2º e art. 47, da Resolução CAU/BR nº 143/2017</w:t>
      </w:r>
      <w:r w:rsidR="00155CA2" w:rsidRPr="00275A91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Bressan Koehler, João Antonio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956FA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7CD09DC5" wp14:editId="6A417823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80160B" w:rsidP="00C03229">
          <w:r w:rsidRPr="00AD4EFC">
            <w:rPr>
              <w:rFonts w:ascii="Times New Roman" w:hAnsi="Times New Roman"/>
              <w:color w:val="0D0D0D" w:themeColor="text1" w:themeTint="F2"/>
            </w:rPr>
            <w:t>1057563/2020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130E0C"/>
    <w:rsid w:val="00155CA2"/>
    <w:rsid w:val="0017194B"/>
    <w:rsid w:val="00195952"/>
    <w:rsid w:val="001D4F6D"/>
    <w:rsid w:val="00275A91"/>
    <w:rsid w:val="0038716E"/>
    <w:rsid w:val="003E25F6"/>
    <w:rsid w:val="0040117A"/>
    <w:rsid w:val="00416E97"/>
    <w:rsid w:val="00430A13"/>
    <w:rsid w:val="004E1CDB"/>
    <w:rsid w:val="004F0A46"/>
    <w:rsid w:val="005240D9"/>
    <w:rsid w:val="005E1285"/>
    <w:rsid w:val="005E625F"/>
    <w:rsid w:val="006D25FF"/>
    <w:rsid w:val="0072760F"/>
    <w:rsid w:val="00767AB9"/>
    <w:rsid w:val="007D5C3A"/>
    <w:rsid w:val="0080160B"/>
    <w:rsid w:val="008056FE"/>
    <w:rsid w:val="008876ED"/>
    <w:rsid w:val="00894419"/>
    <w:rsid w:val="009C4B13"/>
    <w:rsid w:val="009D20D9"/>
    <w:rsid w:val="009D24F9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CBF82AA"/>
  <w15:docId w15:val="{6D85CD88-96C5-44E5-8A8C-7FDF0A8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5</cp:revision>
  <cp:lastPrinted>2020-08-08T12:04:00Z</cp:lastPrinted>
  <dcterms:created xsi:type="dcterms:W3CDTF">2020-12-11T20:45:00Z</dcterms:created>
  <dcterms:modified xsi:type="dcterms:W3CDTF">2020-12-17T17:46:00Z</dcterms:modified>
</cp:coreProperties>
</file>