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FB8" w14:textId="330DD567" w:rsidR="00E42D07" w:rsidRPr="00E42D07" w:rsidRDefault="00E42D07" w:rsidP="00E42D0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Aprovar a homologação judicial de acordo trabalhista entre o empregador acordante Conselho de Arquitetura e Urbanismo de Mato Grosso e a </w:t>
      </w:r>
      <w:r w:rsidR="00691B5C">
        <w:rPr>
          <w:rFonts w:ascii="Times New Roman" w:hAnsi="Times New Roman"/>
          <w:color w:val="000000"/>
          <w:sz w:val="22"/>
          <w:szCs w:val="22"/>
        </w:rPr>
        <w:t>empregada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acordante Natália Martins Magri.</w:t>
      </w:r>
    </w:p>
    <w:p w14:paraId="55632692" w14:textId="77777777" w:rsidR="00E42D07" w:rsidRPr="00E42D07" w:rsidRDefault="00E42D07" w:rsidP="00E42D0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7CB8B46" w14:textId="63C50314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E42D07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114A92">
        <w:rPr>
          <w:rFonts w:ascii="Times New Roman" w:hAnsi="Times New Roman"/>
          <w:color w:val="000000"/>
          <w:sz w:val="22"/>
          <w:szCs w:val="22"/>
        </w:rPr>
        <w:t>11 de junho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de 2022, após análise do assunto em epígrafe, e</w:t>
      </w:r>
    </w:p>
    <w:p w14:paraId="36AAED46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C867CF0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Considerando que a Justiça do Trabalho entendeu em 7 (sete) ações individuais haver equiparação dos funcionários comissionados e empregados convocados pelo Concurso Público 01/2013, que já transitaram julgado com decisão desfavorável ao CAU/MT.</w:t>
      </w:r>
    </w:p>
    <w:p w14:paraId="7E73E258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EBF3E2F" w14:textId="659252EE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Considerando que a empregada Natália Martins Magri em que pese não mover ação, pende seu direito ao referido reajuste reconhecido judicialmente, não havendo inclusive prescrição, por se tratar de trato sucessivo, já que</w:t>
      </w:r>
      <w:r w:rsidR="00691B5C">
        <w:rPr>
          <w:rFonts w:ascii="Times New Roman" w:hAnsi="Times New Roman"/>
          <w:color w:val="000000"/>
          <w:sz w:val="22"/>
          <w:szCs w:val="22"/>
        </w:rPr>
        <w:t xml:space="preserve"> mensalmente enquanto estiver empregada percebe valor a menor que o reconhecido em juízo, uma vez que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o reajuste não foi incorporado no seu salário.</w:t>
      </w:r>
    </w:p>
    <w:p w14:paraId="49C1606C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A9CF6CA" w14:textId="25FB97C8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Considerando, a necessidade de homologação judicial d</w:t>
      </w:r>
      <w:r w:rsidR="00691B5C">
        <w:rPr>
          <w:rFonts w:ascii="Times New Roman" w:hAnsi="Times New Roman"/>
          <w:color w:val="000000"/>
          <w:sz w:val="22"/>
          <w:szCs w:val="22"/>
        </w:rPr>
        <w:t>e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acordo trabalhista entre o EMPREGADOR ACORDANTE CONSELHO DE ARQUITETURA E URBANISMO DO ESTADO DE MATO GROSSO (CAU-MT), CNPJ nº 14.820.959/0001-88 e a OBREIRA ACORDANTE Natália Martins Magri, agente de fiscalização, inscrita no CPF sob nº 024.947.041-11.</w:t>
      </w:r>
    </w:p>
    <w:p w14:paraId="12B457E9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B9D45C9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Considerando o Parecer Jurídico nº 07 de 06/04/2022, que orienta o acordo extrajudicial entre as partes. </w:t>
      </w:r>
    </w:p>
    <w:p w14:paraId="4B8AF614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425BDDD" w14:textId="270046F5" w:rsidR="00691B5C" w:rsidRDefault="00691B5C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o parecer retificador do Conselheiro Alexandro Reis, que entende que o percentual a ser aplicado </w:t>
      </w:r>
      <w:r w:rsidR="003A2566">
        <w:rPr>
          <w:rFonts w:ascii="Times New Roman" w:hAnsi="Times New Roman"/>
          <w:color w:val="000000"/>
          <w:sz w:val="22"/>
          <w:szCs w:val="22"/>
        </w:rPr>
        <w:t>no salário vincendo</w:t>
      </w:r>
      <w:r>
        <w:rPr>
          <w:rFonts w:ascii="Times New Roman" w:hAnsi="Times New Roman"/>
          <w:color w:val="000000"/>
          <w:sz w:val="22"/>
          <w:szCs w:val="22"/>
        </w:rPr>
        <w:t xml:space="preserve"> seja de </w:t>
      </w:r>
      <w:r w:rsidRPr="00691B5C">
        <w:rPr>
          <w:rFonts w:ascii="Times New Roman" w:hAnsi="Times New Roman"/>
          <w:color w:val="000000"/>
          <w:sz w:val="22"/>
          <w:szCs w:val="22"/>
        </w:rPr>
        <w:t>4,90% (quatro vírgula noventa por cento)</w:t>
      </w:r>
      <w:r>
        <w:rPr>
          <w:rFonts w:ascii="Times New Roman" w:hAnsi="Times New Roman"/>
          <w:color w:val="000000"/>
          <w:sz w:val="22"/>
          <w:szCs w:val="22"/>
        </w:rPr>
        <w:t>, tendo em vista que já recebera diferença referente ao salário mínimo profissional, instituído pela Lei nº 4.950-A/1966</w:t>
      </w:r>
      <w:r w:rsidRPr="00691B5C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2E631E70" w14:textId="77777777" w:rsidR="00691B5C" w:rsidRDefault="00691B5C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D0F30BD" w14:textId="083614FD" w:rsidR="00E42D07" w:rsidRPr="00E42D07" w:rsidRDefault="00691B5C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que no parecer retificar demonstra que o valor do concurso no Edital foi de R$ 4.068,00, tendo conforme folha de maio de 2014 recebido o valor de R$ 4.344</w:t>
      </w:r>
      <w:r w:rsidR="00E722E7">
        <w:rPr>
          <w:rFonts w:ascii="Times New Roman" w:hAnsi="Times New Roman"/>
          <w:color w:val="000000"/>
          <w:sz w:val="22"/>
          <w:szCs w:val="22"/>
        </w:rPr>
        <w:t>,00, assim perce</w:t>
      </w:r>
      <w:r>
        <w:rPr>
          <w:rFonts w:ascii="Times New Roman" w:hAnsi="Times New Roman"/>
          <w:color w:val="000000"/>
          <w:sz w:val="22"/>
          <w:szCs w:val="22"/>
        </w:rPr>
        <w:t>b</w:t>
      </w:r>
      <w:r w:rsidR="00E722E7">
        <w:rPr>
          <w:rFonts w:ascii="Times New Roman" w:hAnsi="Times New Roman"/>
          <w:color w:val="000000"/>
          <w:sz w:val="22"/>
          <w:szCs w:val="22"/>
        </w:rPr>
        <w:t>end</w:t>
      </w:r>
      <w:r>
        <w:rPr>
          <w:rFonts w:ascii="Times New Roman" w:hAnsi="Times New Roman"/>
          <w:color w:val="000000"/>
          <w:sz w:val="22"/>
          <w:szCs w:val="22"/>
        </w:rPr>
        <w:t>o a diferença de R$ 276,00 que</w:t>
      </w:r>
      <w:r w:rsidR="00E722E7">
        <w:rPr>
          <w:rFonts w:ascii="Times New Roman" w:hAnsi="Times New Roman"/>
          <w:color w:val="000000"/>
          <w:sz w:val="22"/>
          <w:szCs w:val="22"/>
        </w:rPr>
        <w:t xml:space="preserve"> representa 6,78%, para o reajuste deferido na justiça de </w:t>
      </w:r>
      <w:r w:rsidR="00E42D07" w:rsidRPr="00E722E7">
        <w:rPr>
          <w:rFonts w:ascii="Times New Roman" w:hAnsi="Times New Roman"/>
          <w:color w:val="000000"/>
          <w:sz w:val="22"/>
          <w:szCs w:val="22"/>
        </w:rPr>
        <w:t>11,68% (onze vírgula sessenta e oito por cento)</w:t>
      </w:r>
      <w:r w:rsidR="00E722E7">
        <w:rPr>
          <w:rFonts w:ascii="Times New Roman" w:hAnsi="Times New Roman"/>
          <w:color w:val="000000"/>
          <w:sz w:val="22"/>
          <w:szCs w:val="22"/>
        </w:rPr>
        <w:t>, ainda resta 4,90%</w:t>
      </w:r>
      <w:r w:rsidR="00E42D07" w:rsidRPr="00E722E7">
        <w:rPr>
          <w:rFonts w:ascii="Times New Roman" w:hAnsi="Times New Roman"/>
          <w:color w:val="000000"/>
          <w:sz w:val="22"/>
          <w:szCs w:val="22"/>
        </w:rPr>
        <w:t xml:space="preserve"> não aplicado a OBREIRA ACORDANTE quando da po</w:t>
      </w:r>
      <w:r w:rsidR="00E42D07" w:rsidRPr="00E42D07">
        <w:rPr>
          <w:rFonts w:ascii="Times New Roman" w:hAnsi="Times New Roman"/>
          <w:color w:val="000000"/>
          <w:sz w:val="22"/>
          <w:szCs w:val="22"/>
        </w:rPr>
        <w:t>sse convocada pelo Concurso Público 1/2013</w:t>
      </w:r>
      <w:r w:rsidR="00662B95">
        <w:rPr>
          <w:rFonts w:ascii="Times New Roman" w:hAnsi="Times New Roman"/>
          <w:color w:val="000000"/>
          <w:sz w:val="22"/>
          <w:szCs w:val="22"/>
        </w:rPr>
        <w:t>.</w:t>
      </w:r>
      <w:r w:rsidR="00E42D07"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3ACD8379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939975D" w14:textId="5564C810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Considerando que com o acordo</w:t>
      </w:r>
      <w:r w:rsidR="00597129">
        <w:rPr>
          <w:rFonts w:ascii="Times New Roman" w:hAnsi="Times New Roman"/>
          <w:color w:val="000000"/>
          <w:sz w:val="22"/>
          <w:szCs w:val="22"/>
        </w:rPr>
        <w:t xml:space="preserve"> homologado judicialmente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o empregador deverá na folha de </w:t>
      </w:r>
      <w:r w:rsidR="009C5E9C">
        <w:rPr>
          <w:rFonts w:ascii="Times New Roman" w:hAnsi="Times New Roman"/>
          <w:color w:val="000000"/>
          <w:sz w:val="22"/>
          <w:szCs w:val="22"/>
        </w:rPr>
        <w:t xml:space="preserve">junho 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de 2022, incorporar nos proventos da OBREIRA ACORDANTE o percentual de reajuste de </w:t>
      </w:r>
      <w:r w:rsidR="00597129">
        <w:rPr>
          <w:rFonts w:ascii="Times New Roman" w:hAnsi="Times New Roman"/>
          <w:color w:val="000000"/>
          <w:sz w:val="22"/>
          <w:szCs w:val="22"/>
        </w:rPr>
        <w:t>4,90%</w:t>
      </w:r>
      <w:r w:rsidR="00597129" w:rsidRPr="00E722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color w:val="000000"/>
          <w:sz w:val="22"/>
          <w:szCs w:val="22"/>
        </w:rPr>
        <w:t>(</w:t>
      </w:r>
      <w:r w:rsidR="00597129">
        <w:rPr>
          <w:rFonts w:ascii="Times New Roman" w:hAnsi="Times New Roman"/>
          <w:color w:val="000000"/>
          <w:sz w:val="22"/>
          <w:szCs w:val="22"/>
        </w:rPr>
        <w:t xml:space="preserve">quatro 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vírgula </w:t>
      </w:r>
      <w:r w:rsidR="00597129">
        <w:rPr>
          <w:rFonts w:ascii="Times New Roman" w:hAnsi="Times New Roman"/>
          <w:color w:val="000000"/>
          <w:sz w:val="22"/>
          <w:szCs w:val="22"/>
        </w:rPr>
        <w:t>noventa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por cento), conforme jurisprudência precedente deste Tribunal Regional.</w:t>
      </w:r>
    </w:p>
    <w:p w14:paraId="3170C5E5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E64A673" w14:textId="1869B244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lastRenderedPageBreak/>
        <w:t>Considerando</w:t>
      </w:r>
      <w:r w:rsidR="00597129">
        <w:rPr>
          <w:rFonts w:ascii="Times New Roman" w:hAnsi="Times New Roman"/>
          <w:color w:val="000000"/>
          <w:sz w:val="22"/>
          <w:szCs w:val="22"/>
        </w:rPr>
        <w:t xml:space="preserve"> ainda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que o emp</w:t>
      </w:r>
      <w:r w:rsidR="00597129">
        <w:rPr>
          <w:rFonts w:ascii="Times New Roman" w:hAnsi="Times New Roman"/>
          <w:color w:val="000000"/>
          <w:sz w:val="22"/>
          <w:szCs w:val="22"/>
        </w:rPr>
        <w:t>regador se compromete a pagar à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obreir</w:t>
      </w:r>
      <w:r w:rsidR="00597129">
        <w:rPr>
          <w:rFonts w:ascii="Times New Roman" w:hAnsi="Times New Roman"/>
          <w:color w:val="000000"/>
          <w:sz w:val="22"/>
          <w:szCs w:val="22"/>
        </w:rPr>
        <w:t>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acordante a quantia de R$ 25.026,02 (vinte e cinco mil, vinte e seis reais e dois centavos), </w:t>
      </w:r>
      <w:r w:rsidR="00597129">
        <w:rPr>
          <w:rFonts w:ascii="Times New Roman" w:hAnsi="Times New Roman"/>
          <w:color w:val="000000"/>
          <w:sz w:val="22"/>
          <w:szCs w:val="22"/>
        </w:rPr>
        <w:t xml:space="preserve">referente ao valor retroativo dos últimos 5 (cinco) anos prescricionais </w:t>
      </w:r>
      <w:r w:rsidR="00597129" w:rsidRPr="00597129">
        <w:rPr>
          <w:rFonts w:ascii="Times New Roman" w:hAnsi="Times New Roman"/>
          <w:color w:val="000000"/>
          <w:sz w:val="22"/>
          <w:szCs w:val="22"/>
        </w:rPr>
        <w:t xml:space="preserve">acordo </w:t>
      </w:r>
      <w:r w:rsidR="00597129">
        <w:rPr>
          <w:rFonts w:ascii="Times New Roman" w:hAnsi="Times New Roman"/>
          <w:color w:val="000000"/>
          <w:sz w:val="22"/>
          <w:szCs w:val="22"/>
        </w:rPr>
        <w:t xml:space="preserve">de acordo </w:t>
      </w:r>
      <w:r w:rsidR="00597129" w:rsidRPr="00597129">
        <w:rPr>
          <w:rFonts w:ascii="Times New Roman" w:hAnsi="Times New Roman"/>
          <w:color w:val="000000"/>
          <w:sz w:val="22"/>
          <w:szCs w:val="22"/>
        </w:rPr>
        <w:t>com cálculo em caso semelhante</w:t>
      </w:r>
      <w:r w:rsidRPr="00E42D07">
        <w:rPr>
          <w:rFonts w:ascii="Times New Roman" w:hAnsi="Times New Roman"/>
          <w:color w:val="000000"/>
          <w:sz w:val="22"/>
          <w:szCs w:val="22"/>
        </w:rPr>
        <w:t>.</w:t>
      </w:r>
    </w:p>
    <w:p w14:paraId="065275D4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2259A57" w14:textId="77777777" w:rsidR="00597129" w:rsidRDefault="00597129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que o acordo será protocolado na Justiça do Trabalho para a devida homologação, diante </w:t>
      </w:r>
      <w:r w:rsidRPr="00597129">
        <w:rPr>
          <w:rFonts w:ascii="Times New Roman" w:hAnsi="Times New Roman"/>
          <w:color w:val="000000"/>
          <w:sz w:val="22"/>
          <w:szCs w:val="22"/>
        </w:rPr>
        <w:t>de minuta entre as partes e seus advogados, para ser protocolado e homologado na justiça</w:t>
      </w:r>
      <w:r>
        <w:rPr>
          <w:rFonts w:ascii="Times New Roman" w:hAnsi="Times New Roman"/>
          <w:color w:val="000000"/>
          <w:sz w:val="22"/>
          <w:szCs w:val="22"/>
        </w:rPr>
        <w:t xml:space="preserve">, após no prazo de 5 (cinco) dias da homologação deverá ser feito o pagamento. </w:t>
      </w:r>
    </w:p>
    <w:p w14:paraId="753293C7" w14:textId="77777777" w:rsidR="00597129" w:rsidRDefault="00597129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846BEF5" w14:textId="079EE136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Considerando o direito líquido e certo da empregada, além de que respeitados a eficiência e economia para administração pública, faz-se mister realizar o acordo extrajudicial entre as partes.</w:t>
      </w:r>
    </w:p>
    <w:p w14:paraId="2304B643" w14:textId="06D0E2B6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577EEA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Considerando que para cumprir a finalidade de zelar pelo planejamento e pelo equilíbrio econômico, financeiro e contábil do CAU/MT, respeitado o disposto nos artigos 24, 33 e 34 da Lei n° 12.378, de 31 de dezembro de 2010, competirá à Comissão de Organização, Administração, Planejamento e Finanças do CAU/MT, no âmbito de sua competência propor, apreciar e deliberar sobre atos normativos referentes à gestão estratégica econômico-financeira e patrimonial do CAU/MT e sobre a revisão do Planejamento Estratégico do CAU, encaminhando-a ao CAU/BR, conforme determina o art. 96 do Regimento Interno do CAU/MT, de 09 de fevereiro de 2019.</w:t>
      </w:r>
    </w:p>
    <w:p w14:paraId="4CACA156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9626B4" w14:textId="2F37E006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Considerando que a Deliberação CAF CAU/MT n.º 278/2022, de 09 de maio de 2022 aprova o acordo judicial trabalhista proposto com o fito de efetuar o pagamento de retroativo dos últimos 5 (cinco) anos em </w:t>
      </w:r>
      <w:r w:rsidRPr="00E42D07">
        <w:rPr>
          <w:rFonts w:ascii="Times New Roman" w:hAnsi="Times New Roman"/>
          <w:sz w:val="22"/>
          <w:szCs w:val="22"/>
        </w:rPr>
        <w:t>R$ 25.026,02 (vinte e cinco mil, vinte e seis reais e dois centavos)</w:t>
      </w:r>
      <w:r w:rsidR="003027EA">
        <w:rPr>
          <w:rFonts w:ascii="Times New Roman" w:hAnsi="Times New Roman"/>
          <w:sz w:val="22"/>
          <w:szCs w:val="22"/>
        </w:rPr>
        <w:t xml:space="preserve">. Considerando o parecer retificador fundamentado quanto a implementar na </w:t>
      </w:r>
      <w:r w:rsidR="003A2566">
        <w:rPr>
          <w:rFonts w:ascii="Times New Roman" w:hAnsi="Times New Roman"/>
          <w:sz w:val="22"/>
          <w:szCs w:val="22"/>
        </w:rPr>
        <w:t xml:space="preserve">folha </w:t>
      </w:r>
      <w:r w:rsidR="003A2566" w:rsidRPr="00E42D07">
        <w:rPr>
          <w:rFonts w:ascii="Times New Roman" w:hAnsi="Times New Roman"/>
          <w:sz w:val="22"/>
          <w:szCs w:val="22"/>
        </w:rPr>
        <w:t>da</w:t>
      </w:r>
      <w:r w:rsidRPr="00E42D07">
        <w:rPr>
          <w:rFonts w:ascii="Times New Roman" w:hAnsi="Times New Roman"/>
          <w:sz w:val="22"/>
          <w:szCs w:val="22"/>
        </w:rPr>
        <w:t xml:space="preserve"> empregada Natália Martins Magri a partir de </w:t>
      </w:r>
      <w:r w:rsidR="003027EA">
        <w:rPr>
          <w:rFonts w:ascii="Times New Roman" w:hAnsi="Times New Roman"/>
          <w:sz w:val="22"/>
          <w:szCs w:val="22"/>
        </w:rPr>
        <w:t>junh</w:t>
      </w:r>
      <w:r w:rsidRPr="00E42D07">
        <w:rPr>
          <w:rFonts w:ascii="Times New Roman" w:hAnsi="Times New Roman"/>
          <w:sz w:val="22"/>
          <w:szCs w:val="22"/>
        </w:rPr>
        <w:t>o de 2022, o percentual de reajuste de</w:t>
      </w:r>
      <w:r w:rsidR="003027EA">
        <w:rPr>
          <w:rFonts w:ascii="Times New Roman" w:hAnsi="Times New Roman"/>
          <w:sz w:val="22"/>
          <w:szCs w:val="22"/>
        </w:rPr>
        <w:t xml:space="preserve"> 4,90% (quatro vírgula noventa</w:t>
      </w:r>
      <w:r w:rsidRPr="00E42D07">
        <w:rPr>
          <w:rFonts w:ascii="Times New Roman" w:hAnsi="Times New Roman"/>
          <w:sz w:val="22"/>
          <w:szCs w:val="22"/>
        </w:rPr>
        <w:t xml:space="preserve"> por cento).</w:t>
      </w:r>
    </w:p>
    <w:p w14:paraId="38557467" w14:textId="77777777" w:rsidR="00E42D07" w:rsidRPr="00E42D07" w:rsidRDefault="00E42D07" w:rsidP="00E42D07">
      <w:pPr>
        <w:pStyle w:val="Corpodetexto"/>
        <w:spacing w:line="276" w:lineRule="auto"/>
        <w:jc w:val="both"/>
      </w:pPr>
    </w:p>
    <w:p w14:paraId="415F6B75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AA51C2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42D0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50F2252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E5DDEBA" w14:textId="6E6ACF60" w:rsidR="00E42D07" w:rsidRPr="00E42D07" w:rsidRDefault="00E42D07" w:rsidP="00E42D07">
      <w:pPr>
        <w:pStyle w:val="PargrafodaLista"/>
        <w:numPr>
          <w:ilvl w:val="0"/>
          <w:numId w:val="1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2D07">
        <w:rPr>
          <w:rFonts w:ascii="Times New Roman" w:eastAsia="Times New Roman" w:hAnsi="Times New Roman"/>
          <w:sz w:val="22"/>
          <w:szCs w:val="22"/>
          <w:lang w:eastAsia="pt-BR"/>
        </w:rPr>
        <w:t>Homologar e aprovar</w:t>
      </w:r>
      <w:r w:rsidR="003027EA">
        <w:rPr>
          <w:rFonts w:ascii="Times New Roman" w:eastAsia="Times New Roman" w:hAnsi="Times New Roman"/>
          <w:sz w:val="22"/>
          <w:szCs w:val="22"/>
          <w:lang w:eastAsia="pt-BR"/>
        </w:rPr>
        <w:t xml:space="preserve"> em parte</w:t>
      </w:r>
      <w:r w:rsidRPr="00E42D07">
        <w:rPr>
          <w:rFonts w:ascii="Times New Roman" w:eastAsia="Times New Roman" w:hAnsi="Times New Roman"/>
          <w:sz w:val="22"/>
          <w:szCs w:val="22"/>
          <w:lang w:eastAsia="pt-BR"/>
        </w:rPr>
        <w:t xml:space="preserve"> a Deliberação n.º 278/2022 CAF CAU/MT, de 09 de maio de 2022, conforme segue:</w:t>
      </w:r>
    </w:p>
    <w:p w14:paraId="32364D5B" w14:textId="77777777" w:rsidR="00E42D07" w:rsidRPr="00E42D07" w:rsidRDefault="00E42D07" w:rsidP="00E42D07">
      <w:p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BFF0E8" w14:textId="52E4FF34" w:rsidR="003027EA" w:rsidRDefault="00E42D07" w:rsidP="00E42D07">
      <w:pPr>
        <w:pStyle w:val="PargrafodaLista"/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Aprovar e homologar o acordo judicial trabalhista proposto com o fito de efetuar o pagamento de retroativo dos últimos 5 (cinco) anos em </w:t>
      </w:r>
      <w:r w:rsidRPr="00E42D07">
        <w:rPr>
          <w:rFonts w:ascii="Times New Roman" w:hAnsi="Times New Roman"/>
          <w:sz w:val="22"/>
          <w:szCs w:val="22"/>
        </w:rPr>
        <w:t xml:space="preserve">R$ 25.026,02 (vinte e cinco mil, vinte e seis reais e dois </w:t>
      </w:r>
      <w:r w:rsidRPr="003027EA">
        <w:rPr>
          <w:rFonts w:ascii="Times New Roman" w:hAnsi="Times New Roman"/>
          <w:sz w:val="22"/>
          <w:szCs w:val="22"/>
        </w:rPr>
        <w:t xml:space="preserve">centavos) e implementar na folha da empregada Natália Martins Magri a partir de </w:t>
      </w:r>
      <w:r w:rsidR="009C5E9C">
        <w:rPr>
          <w:rFonts w:ascii="Times New Roman" w:hAnsi="Times New Roman"/>
          <w:sz w:val="22"/>
          <w:szCs w:val="22"/>
        </w:rPr>
        <w:t>junho</w:t>
      </w:r>
      <w:r w:rsidRPr="003027EA">
        <w:rPr>
          <w:rFonts w:ascii="Times New Roman" w:hAnsi="Times New Roman"/>
          <w:sz w:val="22"/>
          <w:szCs w:val="22"/>
        </w:rPr>
        <w:t xml:space="preserve"> de 2022, o percentual de reajuste de</w:t>
      </w:r>
      <w:r w:rsidR="003027EA" w:rsidRPr="003027EA">
        <w:rPr>
          <w:rFonts w:ascii="Times New Roman" w:hAnsi="Times New Roman"/>
          <w:sz w:val="22"/>
          <w:szCs w:val="22"/>
        </w:rPr>
        <w:t xml:space="preserve"> 4,</w:t>
      </w:r>
      <w:r w:rsidR="003027EA">
        <w:rPr>
          <w:rFonts w:ascii="Times New Roman" w:hAnsi="Times New Roman"/>
          <w:sz w:val="22"/>
          <w:szCs w:val="22"/>
        </w:rPr>
        <w:t>90% (quatro vírgula noventa</w:t>
      </w:r>
      <w:r w:rsidR="003027EA" w:rsidRPr="00E42D07">
        <w:rPr>
          <w:rFonts w:ascii="Times New Roman" w:hAnsi="Times New Roman"/>
          <w:sz w:val="22"/>
          <w:szCs w:val="22"/>
        </w:rPr>
        <w:t xml:space="preserve"> por cento).</w:t>
      </w:r>
    </w:p>
    <w:p w14:paraId="0CF80A9A" w14:textId="77777777" w:rsidR="003027EA" w:rsidRDefault="003027EA" w:rsidP="003027EA">
      <w:pPr>
        <w:pStyle w:val="PargrafodaLista"/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Retirar e retificar o percentual anterior descrito na </w:t>
      </w:r>
      <w:r w:rsidRPr="00E42D07">
        <w:rPr>
          <w:rFonts w:ascii="Times New Roman" w:eastAsia="Times New Roman" w:hAnsi="Times New Roman"/>
          <w:sz w:val="22"/>
          <w:szCs w:val="22"/>
          <w:lang w:eastAsia="pt-BR"/>
        </w:rPr>
        <w:t>Deliberação n.º 278/2022 CAF CAU/MT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027EA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3027EA">
        <w:rPr>
          <w:rFonts w:ascii="Times New Roman" w:hAnsi="Times New Roman"/>
          <w:sz w:val="22"/>
          <w:szCs w:val="22"/>
        </w:rPr>
        <w:t xml:space="preserve"> 11</w:t>
      </w:r>
      <w:r w:rsidR="00E42D07" w:rsidRPr="003027EA">
        <w:rPr>
          <w:rFonts w:ascii="Times New Roman" w:hAnsi="Times New Roman"/>
          <w:sz w:val="22"/>
          <w:szCs w:val="22"/>
        </w:rPr>
        <w:t>,68% (onze vírgula sessenta e oito por cento)</w:t>
      </w:r>
      <w:r>
        <w:rPr>
          <w:rFonts w:ascii="Times New Roman" w:hAnsi="Times New Roman"/>
          <w:sz w:val="22"/>
          <w:szCs w:val="22"/>
        </w:rPr>
        <w:t xml:space="preserve"> para </w:t>
      </w:r>
      <w:r w:rsidRPr="003027EA">
        <w:rPr>
          <w:rFonts w:ascii="Times New Roman" w:hAnsi="Times New Roman"/>
          <w:sz w:val="22"/>
          <w:szCs w:val="22"/>
        </w:rPr>
        <w:t>4,</w:t>
      </w:r>
      <w:r>
        <w:rPr>
          <w:rFonts w:ascii="Times New Roman" w:hAnsi="Times New Roman"/>
          <w:sz w:val="22"/>
          <w:szCs w:val="22"/>
        </w:rPr>
        <w:t>90% (quatro vírgula noventa</w:t>
      </w:r>
      <w:r w:rsidRPr="00E42D07">
        <w:rPr>
          <w:rFonts w:ascii="Times New Roman" w:hAnsi="Times New Roman"/>
          <w:sz w:val="22"/>
          <w:szCs w:val="22"/>
        </w:rPr>
        <w:t xml:space="preserve"> por cento).</w:t>
      </w:r>
    </w:p>
    <w:p w14:paraId="54BB17E1" w14:textId="77777777" w:rsidR="00E42D07" w:rsidRPr="00E42D07" w:rsidRDefault="00E42D07" w:rsidP="00E42D07">
      <w:pPr>
        <w:pStyle w:val="Corpodetexto"/>
        <w:spacing w:line="276" w:lineRule="auto"/>
        <w:ind w:left="1070"/>
        <w:jc w:val="both"/>
        <w:rPr>
          <w:color w:val="000000"/>
          <w:lang w:bidi="ar-SA"/>
        </w:rPr>
      </w:pPr>
    </w:p>
    <w:p w14:paraId="2D2C7162" w14:textId="77777777" w:rsidR="00E42D07" w:rsidRPr="00E42D07" w:rsidRDefault="00E42D07" w:rsidP="00E42D07">
      <w:pPr>
        <w:pStyle w:val="PargrafodaLista"/>
        <w:numPr>
          <w:ilvl w:val="0"/>
          <w:numId w:val="1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2D07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1D067DDE" w14:textId="29EE3C2A" w:rsidR="00E42D07" w:rsidRDefault="00E42D07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8527AFB" w14:textId="77777777" w:rsidR="003A2566" w:rsidRDefault="003A2566" w:rsidP="003A256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lastRenderedPageBreak/>
        <w:t>Com 0</w:t>
      </w:r>
      <w:r>
        <w:rPr>
          <w:rFonts w:ascii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proofErr w:type="spellStart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Weverthon</w:t>
      </w:r>
      <w:proofErr w:type="spellEnd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Foles Veras,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Alexsandro Reis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proofErr w:type="spellStart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Maristene</w:t>
      </w:r>
      <w:proofErr w:type="spellEnd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Amaral </w:t>
      </w:r>
      <w:proofErr w:type="gramStart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Matos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</w:t>
      </w:r>
      <w:proofErr w:type="gram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Thiago Rafael </w:t>
      </w:r>
      <w:proofErr w:type="spellStart"/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ausência 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eastAsia="Times New Roman" w:hAnsi="Times New Roman"/>
          <w:bCs/>
          <w:color w:val="000000"/>
          <w:sz w:val="22"/>
          <w:szCs w:val="22"/>
        </w:rPr>
        <w:t>Mayumi</w:t>
      </w:r>
      <w:proofErr w:type="spellEnd"/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Matsumoto, </w:t>
      </w:r>
      <w:r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>, Adriano dos Santos, Dionísio Carlos de Oliveira.</w:t>
      </w:r>
    </w:p>
    <w:p w14:paraId="6F44D336" w14:textId="77777777" w:rsidR="003A2566" w:rsidRDefault="003A2566" w:rsidP="003A2566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E67AB43" w14:textId="77777777" w:rsidR="003A2566" w:rsidRDefault="003A2566" w:rsidP="003A2566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A2211DE" w14:textId="77777777" w:rsidR="003A2566" w:rsidRPr="00E42D07" w:rsidRDefault="003A2566" w:rsidP="003A2566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8143408" w14:textId="77777777" w:rsidR="003A2566" w:rsidRPr="00E42D07" w:rsidRDefault="003A2566" w:rsidP="003A2566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3A1D1490" w14:textId="77777777" w:rsidR="003A2566" w:rsidRPr="00E42D07" w:rsidRDefault="003A2566" w:rsidP="003A2566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08AAA352" w14:textId="77777777" w:rsidR="003A2566" w:rsidRPr="00E42D07" w:rsidRDefault="003A2566" w:rsidP="003A2566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3386E02A" w14:textId="72CEE72C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6877481" w14:textId="158D3389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4FECADC" w14:textId="1DB94DB0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8E624C3" w14:textId="601D4626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E18FC90" w14:textId="7F9E1B91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F948228" w14:textId="2F523BBB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0CA50E0" w14:textId="6C8D4FFA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4422947" w14:textId="793646C1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324562A2" w14:textId="2AE5B8E5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49F2ED13" w14:textId="077DE179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33FA432" w14:textId="3B8ABF59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4DB811D" w14:textId="03F526D5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EDF5F11" w14:textId="0A4EF708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2679818" w14:textId="2B428E50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335A5261" w14:textId="2B17195F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30352BF4" w14:textId="02E3EC56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CEE57A9" w14:textId="5EA5E5FB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D74BB35" w14:textId="223E9EBF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75CCB98" w14:textId="1DFB67A1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0C3440F" w14:textId="6E16D29B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C9A785F" w14:textId="4D08BC49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32C2C63" w14:textId="30AFB313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F75A2F6" w14:textId="3EF9A703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0A88EA4C" w14:textId="41910EAC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4ECA4A3" w14:textId="3574FE59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44E5CFE" w14:textId="2D52731C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4F16D628" w14:textId="3A22A655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5E53D0A3" w14:textId="5077DB2D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1201EA6" w14:textId="68447CDA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6769A07" w14:textId="2EFFC86C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25B8B4D2" w14:textId="77777777" w:rsidR="003A2566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FCFD709" w14:textId="77777777" w:rsidR="003A2566" w:rsidRPr="00E42D07" w:rsidRDefault="003A2566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670CABD4" w14:textId="77777777" w:rsidR="009C5E9C" w:rsidRPr="00E42D07" w:rsidRDefault="009C5E9C" w:rsidP="009C5E9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6C28C39F" w14:textId="77777777" w:rsidR="009C5E9C" w:rsidRPr="00E42D07" w:rsidRDefault="009C5E9C" w:rsidP="009C5E9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2566" w:rsidRPr="00E42D07" w14:paraId="748CB27A" w14:textId="77777777" w:rsidTr="001A6FD8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7D40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34B9D9B7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16AC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2566" w:rsidRPr="00E42D07" w14:paraId="0EBFAF46" w14:textId="77777777" w:rsidTr="001A6FD8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E509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67B4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51A3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AD9B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19E1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2566" w:rsidRPr="00E42D07" w14:paraId="142D9E9E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BE6F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9666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7404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7054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2D2A" w14:textId="77777777" w:rsidR="003A2566" w:rsidRPr="00E42D07" w:rsidRDefault="003A2566" w:rsidP="001A6FD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A2566" w:rsidRPr="00E42D07" w14:paraId="32E64B98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DEA1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880D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3216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6E40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7B9F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A2566" w:rsidRPr="00E42D07" w14:paraId="002AD03A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CEF9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E9C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3C94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E5A9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73D1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566" w:rsidRPr="00E42D07" w14:paraId="234FE485" w14:textId="77777777" w:rsidTr="001A6FD8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F680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38AC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D3FB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0A8F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F76C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566" w:rsidRPr="00E42D07" w14:paraId="1DE4A0FC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693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A173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8FC4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4DFD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9916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566" w:rsidRPr="00E42D07" w14:paraId="5CA861C2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9BAB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CAD6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33CF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4B4A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2D7A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566" w:rsidRPr="00E42D07" w14:paraId="3B0D312C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3169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6323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EEF5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2483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AAEE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A2566" w:rsidRPr="00E42D07" w14:paraId="62EF9DFD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2E1E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F329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69EC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70A8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A26A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A2566" w:rsidRPr="00E42D07" w14:paraId="11E296B2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D8D1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7E9A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A805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ABFF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29DC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A2566" w:rsidRPr="00E42D07" w14:paraId="11860EA1" w14:textId="77777777" w:rsidTr="001A6FD8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DFDD" w14:textId="77777777" w:rsidR="003A2566" w:rsidRPr="00E42D07" w:rsidRDefault="003A2566" w:rsidP="001A6FD8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F9C7" w14:textId="77777777" w:rsidR="003A2566" w:rsidRPr="00E42D07" w:rsidRDefault="003A2566" w:rsidP="001A6FD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0E855969" w14:textId="77777777" w:rsidR="009C5E9C" w:rsidRPr="00E42D07" w:rsidRDefault="009C5E9C" w:rsidP="009C5E9C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2CC3CD50" w14:textId="77777777" w:rsidR="009C5E9C" w:rsidRPr="00E42D07" w:rsidRDefault="009C5E9C" w:rsidP="009C5E9C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EA84A6E" w14:textId="77777777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493C4C08" w14:textId="77777777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93DA24E" w14:textId="77777777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11/06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/2022</w:t>
      </w:r>
    </w:p>
    <w:p w14:paraId="3C88442E" w14:textId="77777777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52AC7B3E" w14:textId="66120726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 </w:t>
      </w:r>
      <w:r w:rsidR="004A1101" w:rsidRPr="00E42D07">
        <w:rPr>
          <w:rFonts w:ascii="Times New Roman" w:hAnsi="Times New Roman"/>
          <w:bCs/>
          <w:sz w:val="22"/>
          <w:szCs w:val="22"/>
        </w:rPr>
        <w:t>ACORDO TRABALHISTA JUDICIAL</w:t>
      </w:r>
    </w:p>
    <w:p w14:paraId="3E00CDE5" w14:textId="77777777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FE791E6" w14:textId="55EFD4F8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3A2566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(00</w:t>
      </w:r>
      <w:proofErr w:type="gramStart"/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3A2566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31D4F7E0" w14:textId="77777777" w:rsidR="009C5E9C" w:rsidRPr="00E42D07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36259D" w14:textId="6FB187C8" w:rsidR="009C5E9C" w:rsidRDefault="009C5E9C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E42D07">
        <w:rPr>
          <w:rFonts w:ascii="Times New Roman" w:hAnsi="Times New Roman"/>
          <w:sz w:val="22"/>
          <w:szCs w:val="22"/>
          <w:lang w:eastAsia="ar-SA"/>
        </w:rPr>
        <w:t xml:space="preserve">: Conselheira Titular Thais Bacchi encontra-se de licença até dia 31/08/2022 e Conselheiro Suplente Paulo Sérgio Borges encontra-se de licença até dia </w:t>
      </w:r>
      <w:r w:rsidR="004A1101">
        <w:rPr>
          <w:rFonts w:ascii="Times New Roman" w:hAnsi="Times New Roman"/>
          <w:sz w:val="22"/>
          <w:szCs w:val="22"/>
          <w:lang w:eastAsia="ar-SA"/>
        </w:rPr>
        <w:t>10/09/2022</w:t>
      </w:r>
      <w:r>
        <w:rPr>
          <w:rFonts w:ascii="Times New Roman" w:hAnsi="Times New Roman"/>
          <w:sz w:val="22"/>
          <w:szCs w:val="22"/>
          <w:lang w:eastAsia="ar-SA"/>
        </w:rPr>
        <w:t>.</w:t>
      </w:r>
    </w:p>
    <w:p w14:paraId="5AC33DC1" w14:textId="651D7978" w:rsidR="00F42EF8" w:rsidRDefault="00F42EF8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C9D06E" w14:textId="77777777" w:rsidR="003A2566" w:rsidRDefault="003A2566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24DDEB1" w14:textId="312EA284" w:rsidR="009C5E9C" w:rsidRPr="00E42D07" w:rsidRDefault="00F42EF8" w:rsidP="009C5E9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)</w:t>
      </w:r>
      <w:r w:rsidR="003A2566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: </w:t>
      </w:r>
      <w:r w:rsidR="003A2566" w:rsidRPr="003A2566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André </w:t>
      </w:r>
      <w:proofErr w:type="spellStart"/>
      <w:r w:rsidR="003A2566" w:rsidRPr="003A2566">
        <w:rPr>
          <w:rFonts w:ascii="Times New Roman" w:eastAsia="Times New Roman" w:hAnsi="Times New Roman"/>
          <w:bCs/>
          <w:color w:val="000000"/>
          <w:sz w:val="22"/>
          <w:szCs w:val="22"/>
        </w:rPr>
        <w:t>Nör</w:t>
      </w:r>
      <w:proofErr w:type="spellEnd"/>
    </w:p>
    <w:sectPr w:rsidR="009C5E9C" w:rsidRPr="00E42D07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96C" w14:textId="77777777" w:rsidR="00B73FDA" w:rsidRDefault="00B73FDA">
      <w:r>
        <w:separator/>
      </w:r>
    </w:p>
  </w:endnote>
  <w:endnote w:type="continuationSeparator" w:id="0">
    <w:p w14:paraId="662C7F18" w14:textId="77777777" w:rsidR="00B73FDA" w:rsidRDefault="00B7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3027EA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3394" w14:textId="77777777" w:rsidR="00B73FDA" w:rsidRDefault="00B73FDA">
      <w:r>
        <w:rPr>
          <w:color w:val="000000"/>
        </w:rPr>
        <w:separator/>
      </w:r>
    </w:p>
  </w:footnote>
  <w:footnote w:type="continuationSeparator" w:id="0">
    <w:p w14:paraId="334EF0D6" w14:textId="77777777" w:rsidR="00B73FDA" w:rsidRDefault="00B73FDA">
      <w:r>
        <w:continuationSeparator/>
      </w:r>
    </w:p>
  </w:footnote>
  <w:footnote w:id="1">
    <w:p w14:paraId="5EEBE6F7" w14:textId="77777777" w:rsidR="003A2566" w:rsidRPr="002A5080" w:rsidRDefault="003A2566" w:rsidP="003A2566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1B087F94" w14:textId="77777777" w:rsidR="003A2566" w:rsidRPr="002A5080" w:rsidRDefault="003A2566" w:rsidP="003A2566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30130F2F" w14:textId="77777777" w:rsidR="003A2566" w:rsidRPr="002A5080" w:rsidRDefault="003A2566" w:rsidP="003A2566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663A3D50" w14:textId="77777777" w:rsidR="003A2566" w:rsidRPr="002A5080" w:rsidRDefault="003A2566" w:rsidP="003A2566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2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CC043E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2138C17C" w:rsidR="008A0EE4" w:rsidRPr="00E42D07" w:rsidRDefault="00E42D07" w:rsidP="00CC043E">
          <w:pPr>
            <w:widowControl w:val="0"/>
            <w:rPr>
              <w:rFonts w:ascii="Times New Roman" w:hAnsi="Times New Roman"/>
              <w:bCs/>
              <w:sz w:val="22"/>
              <w:szCs w:val="22"/>
            </w:rPr>
          </w:pPr>
          <w:r w:rsidRPr="00E42D07">
            <w:rPr>
              <w:rFonts w:ascii="Times New Roman" w:hAnsi="Times New Roman"/>
              <w:bCs/>
              <w:sz w:val="22"/>
              <w:szCs w:val="22"/>
            </w:rPr>
            <w:t>1523236/2022</w:t>
          </w:r>
        </w:p>
      </w:tc>
    </w:tr>
    <w:tr w:rsidR="008A0EE4" w:rsidRPr="00CC043E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E42D07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  <w:sz w:val="22"/>
              <w:szCs w:val="22"/>
            </w:rPr>
          </w:pPr>
          <w:r w:rsidRPr="00CC043E">
            <w:rPr>
              <w:rFonts w:ascii="Times New Roman" w:hAnsi="Times New Roman"/>
              <w:bCs/>
              <w:sz w:val="22"/>
              <w:szCs w:val="22"/>
            </w:rPr>
            <w:t>CAU/MT</w:t>
          </w:r>
        </w:p>
      </w:tc>
    </w:tr>
    <w:tr w:rsidR="008A0EE4" w:rsidRPr="00CC043E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59834867" w:rsidR="008A0EE4" w:rsidRPr="00E42D07" w:rsidRDefault="00E42D07" w:rsidP="008A0EE4">
          <w:pPr>
            <w:widowControl w:val="0"/>
            <w:rPr>
              <w:rFonts w:ascii="Times New Roman" w:hAnsi="Times New Roman"/>
              <w:bCs/>
              <w:sz w:val="22"/>
              <w:szCs w:val="22"/>
            </w:rPr>
          </w:pPr>
          <w:r w:rsidRPr="00E42D07">
            <w:rPr>
              <w:rFonts w:ascii="Times New Roman" w:hAnsi="Times New Roman"/>
              <w:bCs/>
              <w:sz w:val="22"/>
              <w:szCs w:val="22"/>
            </w:rPr>
            <w:t>ACORDO TRABALHISTA JUDICIAL</w:t>
          </w:r>
        </w:p>
      </w:tc>
    </w:tr>
  </w:tbl>
  <w:p w14:paraId="3F30B6FD" w14:textId="19A2A4EF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114A92">
      <w:rPr>
        <w:rFonts w:ascii="Times New Roman" w:hAnsi="Times New Roman"/>
        <w:b/>
        <w:sz w:val="22"/>
        <w:szCs w:val="22"/>
        <w:lang w:eastAsia="pt-BR"/>
      </w:rPr>
      <w:t>744/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65A"/>
    <w:multiLevelType w:val="hybridMultilevel"/>
    <w:tmpl w:val="762253B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966472889">
    <w:abstractNumId w:val="1"/>
  </w:num>
  <w:num w:numId="2" w16cid:durableId="53465860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55AA4"/>
    <w:rsid w:val="00074330"/>
    <w:rsid w:val="00080DBD"/>
    <w:rsid w:val="00091F1F"/>
    <w:rsid w:val="00097E12"/>
    <w:rsid w:val="000B1736"/>
    <w:rsid w:val="000D5E9F"/>
    <w:rsid w:val="000E7E20"/>
    <w:rsid w:val="00111440"/>
    <w:rsid w:val="00114A92"/>
    <w:rsid w:val="00115C40"/>
    <w:rsid w:val="00134BBA"/>
    <w:rsid w:val="00150A24"/>
    <w:rsid w:val="001523E4"/>
    <w:rsid w:val="00157099"/>
    <w:rsid w:val="001C1FE3"/>
    <w:rsid w:val="001D5DF1"/>
    <w:rsid w:val="001E17D0"/>
    <w:rsid w:val="002039F1"/>
    <w:rsid w:val="00266E1B"/>
    <w:rsid w:val="002721DB"/>
    <w:rsid w:val="002A3B7E"/>
    <w:rsid w:val="002B6DCF"/>
    <w:rsid w:val="002C1565"/>
    <w:rsid w:val="002C38FF"/>
    <w:rsid w:val="002C3D47"/>
    <w:rsid w:val="002D46FB"/>
    <w:rsid w:val="002F1039"/>
    <w:rsid w:val="002F2169"/>
    <w:rsid w:val="003027EA"/>
    <w:rsid w:val="00310026"/>
    <w:rsid w:val="00310D3B"/>
    <w:rsid w:val="00313337"/>
    <w:rsid w:val="00337B13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2566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C68"/>
    <w:rsid w:val="004842F8"/>
    <w:rsid w:val="004923EA"/>
    <w:rsid w:val="00494859"/>
    <w:rsid w:val="004A1101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97129"/>
    <w:rsid w:val="005A112C"/>
    <w:rsid w:val="005A3771"/>
    <w:rsid w:val="005B2722"/>
    <w:rsid w:val="005B460F"/>
    <w:rsid w:val="005C3AB6"/>
    <w:rsid w:val="005E1A81"/>
    <w:rsid w:val="005E61B2"/>
    <w:rsid w:val="006216CD"/>
    <w:rsid w:val="00641F72"/>
    <w:rsid w:val="00662B95"/>
    <w:rsid w:val="00663A75"/>
    <w:rsid w:val="00667964"/>
    <w:rsid w:val="00691B5C"/>
    <w:rsid w:val="006A2123"/>
    <w:rsid w:val="006C71B7"/>
    <w:rsid w:val="006E6CB1"/>
    <w:rsid w:val="00741737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C5E9C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52F6E"/>
    <w:rsid w:val="00A955ED"/>
    <w:rsid w:val="00AA0953"/>
    <w:rsid w:val="00AC0BAD"/>
    <w:rsid w:val="00AC4F6F"/>
    <w:rsid w:val="00AC63F0"/>
    <w:rsid w:val="00B05D8E"/>
    <w:rsid w:val="00B07367"/>
    <w:rsid w:val="00B1196A"/>
    <w:rsid w:val="00B44609"/>
    <w:rsid w:val="00B518EB"/>
    <w:rsid w:val="00B55EAA"/>
    <w:rsid w:val="00B73FD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DE064B"/>
    <w:rsid w:val="00E07F85"/>
    <w:rsid w:val="00E42D07"/>
    <w:rsid w:val="00E42F0B"/>
    <w:rsid w:val="00E52126"/>
    <w:rsid w:val="00E54AC3"/>
    <w:rsid w:val="00E61EED"/>
    <w:rsid w:val="00E647CA"/>
    <w:rsid w:val="00E661B5"/>
    <w:rsid w:val="00E722E7"/>
    <w:rsid w:val="00E845B2"/>
    <w:rsid w:val="00E9381B"/>
    <w:rsid w:val="00EA2BED"/>
    <w:rsid w:val="00EA73BD"/>
    <w:rsid w:val="00EC04C1"/>
    <w:rsid w:val="00EE19CD"/>
    <w:rsid w:val="00EF1AD2"/>
    <w:rsid w:val="00F34DA2"/>
    <w:rsid w:val="00F42EF8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docId w15:val="{24194628-45C9-465C-BD1A-85524BED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E42D07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42D07"/>
    <w:rPr>
      <w:rFonts w:ascii="Times New Roman" w:eastAsia="Times New Roman" w:hAnsi="Times New Roman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E42D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4BE8-2A89-4DA5-BC0D-E202A600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12</cp:revision>
  <cp:lastPrinted>2022-06-14T13:48:00Z</cp:lastPrinted>
  <dcterms:created xsi:type="dcterms:W3CDTF">2022-06-10T17:49:00Z</dcterms:created>
  <dcterms:modified xsi:type="dcterms:W3CDTF">2022-06-14T13:54:00Z</dcterms:modified>
</cp:coreProperties>
</file>