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C76C" w14:textId="77777777" w:rsidR="00E6606A" w:rsidRPr="00E6606A" w:rsidRDefault="00E6606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C082B0C" w14:textId="295B6AFF" w:rsidR="00034FE9" w:rsidRPr="00E6606A" w:rsidRDefault="00CE2978" w:rsidP="00034FE9">
      <w:pPr>
        <w:shd w:val="clear" w:color="auto" w:fill="FFFFFF"/>
        <w:suppressAutoHyphens w:val="0"/>
        <w:autoSpaceDN/>
        <w:spacing w:after="0" w:line="240" w:lineRule="auto"/>
        <w:ind w:left="453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Defere </w:t>
      </w:r>
      <w:r w:rsidR="00034FE9" w:rsidRPr="00E6606A">
        <w:rPr>
          <w:rFonts w:ascii="Times New Roman" w:eastAsia="Times New Roman" w:hAnsi="Times New Roman"/>
          <w:sz w:val="24"/>
          <w:szCs w:val="24"/>
          <w:lang w:eastAsia="pt-BR"/>
        </w:rPr>
        <w:t>a Inclusão de Pós-graduação em Engenharia de Segurança do Trabalho da arquiteta e urbanista DANIELA MUNIZ DE OLIVEIRA.</w:t>
      </w:r>
    </w:p>
    <w:p w14:paraId="228527C6" w14:textId="174FFA3E" w:rsidR="00CE2978" w:rsidRPr="00E6606A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6953A77A" w14:textId="77777777" w:rsidR="00CE2978" w:rsidRPr="00E6606A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7CF639AB" w14:textId="77777777" w:rsidR="00E6606A" w:rsidRPr="000632E8" w:rsidRDefault="00E6606A" w:rsidP="00E6606A">
      <w:pPr>
        <w:spacing w:after="0"/>
        <w:jc w:val="both"/>
        <w:rPr>
          <w:rFonts w:ascii="Times New Roman" w:hAnsi="Times New Roman"/>
          <w:color w:val="000000"/>
        </w:rPr>
      </w:pPr>
      <w:r w:rsidRPr="000632E8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CAU/MT, reunido ordinariamente em Cuiabá-MT, na sede do CAU/MT, no dia </w:t>
      </w:r>
      <w:r>
        <w:rPr>
          <w:rFonts w:ascii="Times New Roman" w:hAnsi="Times New Roman"/>
          <w:color w:val="000000"/>
        </w:rPr>
        <w:t>14</w:t>
      </w:r>
      <w:r w:rsidRPr="000632E8">
        <w:rPr>
          <w:rFonts w:ascii="Times New Roman" w:hAnsi="Times New Roman"/>
          <w:color w:val="000000"/>
        </w:rPr>
        <w:t xml:space="preserve"> de janeiro de 202</w:t>
      </w:r>
      <w:r>
        <w:rPr>
          <w:rFonts w:ascii="Times New Roman" w:hAnsi="Times New Roman"/>
          <w:color w:val="000000"/>
        </w:rPr>
        <w:t>3</w:t>
      </w:r>
      <w:r w:rsidRPr="000632E8">
        <w:rPr>
          <w:rFonts w:ascii="Times New Roman" w:hAnsi="Times New Roman"/>
          <w:color w:val="000000"/>
        </w:rPr>
        <w:t>, após análise do assunto em epígrafe, e</w:t>
      </w:r>
    </w:p>
    <w:p w14:paraId="36743D37" w14:textId="77777777" w:rsidR="00E6606A" w:rsidRDefault="00E6606A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57EB0F" w14:textId="6546F1D9" w:rsidR="005E2BDF" w:rsidRPr="00E6606A" w:rsidRDefault="00CE2978" w:rsidP="005D4241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5E2BDF" w:rsidRPr="00E6606A">
        <w:rPr>
          <w:rFonts w:ascii="Times New Roman" w:eastAsia="Times New Roman" w:hAnsi="Times New Roman"/>
          <w:sz w:val="24"/>
          <w:szCs w:val="24"/>
          <w:lang w:eastAsia="pt-BR"/>
        </w:rPr>
        <w:t>que o</w:t>
      </w:r>
      <w:r w:rsidR="006A2B09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 (a)</w:t>
      </w:r>
      <w:r w:rsidR="005E2BDF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 arquiteto e urbanista Sr.</w:t>
      </w:r>
      <w:r w:rsidR="006A2B09" w:rsidRPr="00E6606A"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="005E2BDF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34FE9" w:rsidRPr="00E6606A">
        <w:rPr>
          <w:rFonts w:ascii="Times New Roman" w:eastAsia="Times New Roman" w:hAnsi="Times New Roman"/>
          <w:sz w:val="24"/>
          <w:szCs w:val="24"/>
          <w:lang w:eastAsia="pt-BR"/>
        </w:rPr>
        <w:t>DANIELA MUNIZ DE OLIVEIRA</w:t>
      </w:r>
      <w:r w:rsidR="005E2BDF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D8098C" w:rsidRPr="00E6606A">
        <w:rPr>
          <w:rFonts w:ascii="Times New Roman" w:eastAsia="Times New Roman" w:hAnsi="Times New Roman"/>
          <w:sz w:val="24"/>
          <w:szCs w:val="24"/>
          <w:lang w:eastAsia="pt-BR"/>
        </w:rPr>
        <w:t>CAU</w:t>
      </w:r>
      <w:r w:rsidR="006A2B09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 nº </w:t>
      </w:r>
      <w:r w:rsidR="00034FE9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A238440-0 </w:t>
      </w:r>
      <w:r w:rsidR="00B23739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requer </w:t>
      </w:r>
      <w:r w:rsidR="00FE00AA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prioridade e urgência na análise </w:t>
      </w:r>
      <w:r w:rsidR="00034FE9" w:rsidRPr="00E6606A">
        <w:rPr>
          <w:rFonts w:ascii="Times New Roman" w:eastAsia="Times New Roman" w:hAnsi="Times New Roman"/>
          <w:sz w:val="24"/>
          <w:szCs w:val="24"/>
          <w:lang w:eastAsia="pt-BR"/>
        </w:rPr>
        <w:t>para incluir em seu registro profissional a Pós-graduação em Engenharia de Segurança do Trabalho da arquiteta e urbanista DANIELA MUNIZ DE OLIVEIRA, visto que, requereu análise em 22 de junho</w:t>
      </w:r>
      <w:r w:rsidR="00287595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 de 2022</w:t>
      </w:r>
      <w:r w:rsidR="00034FE9" w:rsidRPr="00E6606A">
        <w:rPr>
          <w:rFonts w:ascii="Times New Roman" w:eastAsia="Times New Roman" w:hAnsi="Times New Roman"/>
          <w:sz w:val="24"/>
          <w:szCs w:val="24"/>
          <w:lang w:eastAsia="pt-BR"/>
        </w:rPr>
        <w:t>, contudo até a presente data não fora analisado pela CEF CAU/MT.</w:t>
      </w:r>
    </w:p>
    <w:p w14:paraId="2E4C666E" w14:textId="44025B42" w:rsidR="00034FE9" w:rsidRPr="00E6606A" w:rsidRDefault="00034FE9" w:rsidP="005D4241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73CFE4" w14:textId="4EC8BA98" w:rsidR="00034FE9" w:rsidRPr="00E6606A" w:rsidRDefault="00034FE9" w:rsidP="005D4241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287595" w:rsidRPr="00E6606A">
        <w:rPr>
          <w:rFonts w:ascii="Times New Roman" w:eastAsia="Times New Roman" w:hAnsi="Times New Roman"/>
          <w:sz w:val="24"/>
          <w:szCs w:val="24"/>
          <w:lang w:eastAsia="pt-BR"/>
        </w:rPr>
        <w:t>as atividades técnicas do campo de atuação dos arquitetos e urbanistas no exercício da especialização em Engenharia de Segurança do Trabalho, em conformidade com normativo educacional vigente estão dispostos no art. 10 da Resolução Nº 162/2018 e a  habilitação para o exercício das atividades de especialização em Engenharia de Segurança do Trabalho pelos arquitetos e urbanistas dependerá de registro profissional ativo e do registro do título complementar de “Engenheiro (a) de Segurança do Trabalho (Especialização)” em um dos Conselhos de Arquitetura e Urbanismo dos Estados e do Distrito Federal (CAU/UF), nos termos desta Resolução CAU/BR nº 162/2018.</w:t>
      </w:r>
    </w:p>
    <w:p w14:paraId="1F34ACBD" w14:textId="77777777" w:rsidR="00C303A4" w:rsidRPr="00E6606A" w:rsidRDefault="00C303A4" w:rsidP="00C303A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48172E" w14:textId="34FB7F3C" w:rsidR="00287595" w:rsidRPr="00E6606A" w:rsidRDefault="005D4241" w:rsidP="00287595">
      <w:pPr>
        <w:tabs>
          <w:tab w:val="left" w:pos="1418"/>
        </w:tabs>
        <w:spacing w:after="120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287595" w:rsidRPr="00E6606A">
        <w:rPr>
          <w:rFonts w:ascii="Times New Roman" w:eastAsia="Times New Roman" w:hAnsi="Times New Roman"/>
          <w:sz w:val="24"/>
          <w:szCs w:val="24"/>
          <w:lang w:eastAsia="pt-BR"/>
        </w:rPr>
        <w:t>para instrução processual, a arquiteta e urbanista poderá requerer a inclusão, desde que atendam os requisitos abaixo mencionados, conforme Deliberação nº 094/2018 – CEF-CAU/BR: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709"/>
        <w:gridCol w:w="708"/>
        <w:gridCol w:w="851"/>
      </w:tblGrid>
      <w:tr w:rsidR="00287595" w:rsidRPr="00E6606A" w14:paraId="5B7BCEE0" w14:textId="77777777" w:rsidTr="006D6B8C">
        <w:tc>
          <w:tcPr>
            <w:tcW w:w="9640" w:type="dxa"/>
            <w:gridSpan w:val="4"/>
          </w:tcPr>
          <w:p w14:paraId="32AE1581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Critério de admissibilidade</w:t>
            </w:r>
          </w:p>
        </w:tc>
      </w:tr>
      <w:tr w:rsidR="00287595" w:rsidRPr="00E6606A" w14:paraId="3F768EAD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37BC5F7C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REQUISITO PRIMÁRIO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A7F867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iCs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6F177E2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iCs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910B98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Fls.</w:t>
            </w:r>
          </w:p>
        </w:tc>
      </w:tr>
      <w:tr w:rsidR="00287595" w:rsidRPr="00E6606A" w14:paraId="383E8499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424C4F20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66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Portador de certificado de conclusão de curso de especialização, em nível de pós-graduação, em Engenharia de Segurança do Trabalho; </w:t>
            </w:r>
            <w:r w:rsidRPr="00E6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ou</w:t>
            </w:r>
          </w:p>
        </w:tc>
        <w:tc>
          <w:tcPr>
            <w:tcW w:w="709" w:type="dxa"/>
            <w:vAlign w:val="center"/>
          </w:tcPr>
          <w:p w14:paraId="04845505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63BE64D9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2FD657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287595" w:rsidRPr="00E6606A" w14:paraId="39988491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5171B5E0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66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Portador de certificado de curso de especialização em Engenharia de Segurança do Trabalho, realizado em caráter prioritário pelo Ministério do Trabalho; </w:t>
            </w:r>
            <w:r w:rsidRPr="00E6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ou</w:t>
            </w:r>
          </w:p>
        </w:tc>
        <w:tc>
          <w:tcPr>
            <w:tcW w:w="709" w:type="dxa"/>
            <w:vAlign w:val="center"/>
          </w:tcPr>
          <w:p w14:paraId="125B397B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0B8D4C3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DC715B4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595" w:rsidRPr="00E6606A" w14:paraId="4709DD4E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2B2270EA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Portador de registro de Engenharia de Segurança do Trabalho, expedido pelo Ministério do Trabalho, dentro de 180 (cento e oitenta) dias da extinção do curso referido no item anterior.</w:t>
            </w:r>
          </w:p>
        </w:tc>
        <w:tc>
          <w:tcPr>
            <w:tcW w:w="709" w:type="dxa"/>
            <w:vAlign w:val="center"/>
          </w:tcPr>
          <w:p w14:paraId="63528A5C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7092E4F4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E66564E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595" w:rsidRPr="00E6606A" w14:paraId="0CA70649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5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607BD38C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REQUISITO SECUNDÁRIO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6F9660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E8A5A9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28147F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287595" w:rsidRPr="00E6606A" w14:paraId="597DFBCE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5"/>
        </w:trPr>
        <w:tc>
          <w:tcPr>
            <w:tcW w:w="7372" w:type="dxa"/>
            <w:shd w:val="clear" w:color="auto" w:fill="auto"/>
            <w:vAlign w:val="center"/>
          </w:tcPr>
          <w:p w14:paraId="7EA8D032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06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Registro ativo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7F86A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1C3DD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93C874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E6606A"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8</w:t>
            </w:r>
          </w:p>
        </w:tc>
      </w:tr>
      <w:tr w:rsidR="00287595" w:rsidRPr="00E6606A" w14:paraId="4F964BFE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5"/>
        </w:trPr>
        <w:tc>
          <w:tcPr>
            <w:tcW w:w="7372" w:type="dxa"/>
            <w:shd w:val="clear" w:color="auto" w:fill="auto"/>
            <w:vAlign w:val="center"/>
          </w:tcPr>
          <w:p w14:paraId="5131FCCE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E6606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Requerido por meio do preenchimento de formulário específico disponível no ambiente profissional do Sistema de Informação e Comunicação dos Conselhos de Arquitetura e Urbanismo (SICCAU).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C450E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1D1E0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CD4329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</w:tr>
      <w:tr w:rsidR="00287595" w:rsidRPr="00E6606A" w14:paraId="305F29F5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5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53EE2FC8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REQUISITO TERCIÁRIO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ABE3B2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iCs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4B0DEA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iCs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61935C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Fls.</w:t>
            </w:r>
          </w:p>
        </w:tc>
      </w:tr>
      <w:tr w:rsidR="00287595" w:rsidRPr="00E6606A" w14:paraId="1BA5E532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4DD96775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Relação das disciplinas, carga horária, nota ou conceito;</w:t>
            </w:r>
          </w:p>
        </w:tc>
        <w:tc>
          <w:tcPr>
            <w:tcW w:w="709" w:type="dxa"/>
            <w:vAlign w:val="center"/>
          </w:tcPr>
          <w:p w14:paraId="2862C9F9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0EB2075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4921E4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287595" w:rsidRPr="00E6606A" w14:paraId="74B3C3DD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46567FF0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Período em que o curso foi realizado, incluindo datas de início e conclusão</w:t>
            </w:r>
          </w:p>
        </w:tc>
        <w:tc>
          <w:tcPr>
            <w:tcW w:w="709" w:type="dxa"/>
            <w:vAlign w:val="center"/>
          </w:tcPr>
          <w:p w14:paraId="7F76ECAE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062CEE4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A7C816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287595" w:rsidRPr="00E6606A" w14:paraId="54EB7CD8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2F6DE741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Título da monografia ou do trabalho de conclusão do curso e nota ou conceito obtido</w:t>
            </w:r>
          </w:p>
        </w:tc>
        <w:tc>
          <w:tcPr>
            <w:tcW w:w="709" w:type="dxa"/>
            <w:vAlign w:val="center"/>
          </w:tcPr>
          <w:p w14:paraId="264D66BB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26ADDAB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C69268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287595" w:rsidRPr="00E6606A" w14:paraId="0DCDD48A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69214BE0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Identificação do corpo docente com sua respectiva qualificação</w:t>
            </w:r>
          </w:p>
        </w:tc>
        <w:tc>
          <w:tcPr>
            <w:tcW w:w="709" w:type="dxa"/>
            <w:vAlign w:val="center"/>
          </w:tcPr>
          <w:p w14:paraId="3D68AF4F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41A48DB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69EDA0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287595" w:rsidRPr="00E6606A" w14:paraId="73AE862C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</w:tcPr>
          <w:p w14:paraId="2C5F7B90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Instituição de Ensino credenciado pelo MEC</w:t>
            </w:r>
            <w:r w:rsidRPr="00E6606A">
              <w:rPr>
                <w:rStyle w:val="Refdenotaderoda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1"/>
            </w:r>
          </w:p>
        </w:tc>
        <w:tc>
          <w:tcPr>
            <w:tcW w:w="709" w:type="dxa"/>
            <w:vAlign w:val="center"/>
          </w:tcPr>
          <w:p w14:paraId="66141D73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CBAB253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57E310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0</w:t>
            </w:r>
            <w:r w:rsidRPr="00E6606A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</w:tr>
      <w:tr w:rsidR="00287595" w:rsidRPr="00E6606A" w14:paraId="2112718B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095E2A04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REQUISITO QUATERNÁRIO</w:t>
            </w:r>
          </w:p>
          <w:p w14:paraId="7C7EA1CF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bCs/>
                <w:sz w:val="20"/>
                <w:szCs w:val="20"/>
              </w:rPr>
              <w:t>ANÁLISE DOCUMENTAÇÃO PARA REGISTRO DO TÍTULO DE ENGENHEIRO DE SEGURANÇA DO TRABALHO (ANEXO)</w:t>
            </w:r>
          </w:p>
        </w:tc>
      </w:tr>
      <w:tr w:rsidR="00287595" w:rsidRPr="00E6606A" w14:paraId="47A53326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14:paraId="5B9AB856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Style w:val="nfase"/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 xml:space="preserve">PROCEDIMENTOS CONFORME </w:t>
            </w:r>
            <w:r w:rsidRPr="00E6606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DELIBERAÇÃO Nº 094/2018 – CEF-CAU/BR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9EA916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6C995C6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E838C2B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Fls.</w:t>
            </w:r>
          </w:p>
        </w:tc>
      </w:tr>
      <w:tr w:rsidR="00287595" w:rsidRPr="00E6606A" w14:paraId="6764A1E4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shd w:val="clear" w:color="auto" w:fill="FFFFFF" w:themeFill="background1"/>
            <w:vAlign w:val="center"/>
          </w:tcPr>
          <w:p w14:paraId="27A81771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Style w:val="nfase"/>
                <w:rFonts w:ascii="Times New Roman" w:hAnsi="Times New Roman" w:cs="Times New Roman"/>
                <w:bCs/>
                <w:i w:val="0"/>
                <w:iCs/>
                <w:sz w:val="20"/>
                <w:szCs w:val="20"/>
              </w:rPr>
            </w:pPr>
            <w:r w:rsidRPr="00E6606A">
              <w:rPr>
                <w:rFonts w:ascii="Times New Roman" w:hAnsi="Times New Roman" w:cs="Times New Roman"/>
                <w:sz w:val="20"/>
                <w:szCs w:val="20"/>
              </w:rPr>
              <w:t>Identificação do requerente e processo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980D55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447A6D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198DE0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87595" w:rsidRPr="00E6606A" w14:paraId="4E2045D3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1AA387AA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6606A">
              <w:rPr>
                <w:rFonts w:ascii="Times New Roman" w:hAnsi="Times New Roman" w:cs="Times New Roman"/>
                <w:sz w:val="20"/>
                <w:szCs w:val="20"/>
              </w:rPr>
              <w:t>Documentação apresentada:</w:t>
            </w:r>
          </w:p>
        </w:tc>
        <w:tc>
          <w:tcPr>
            <w:tcW w:w="709" w:type="dxa"/>
            <w:vAlign w:val="center"/>
          </w:tcPr>
          <w:p w14:paraId="0E984473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286B265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766C2A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>01/1</w:t>
            </w:r>
            <w:r w:rsidRPr="00E6606A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287595" w:rsidRPr="00E6606A" w14:paraId="000CA07E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472393D2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6606A">
              <w:rPr>
                <w:rFonts w:ascii="Times New Roman" w:hAnsi="Times New Roman" w:cs="Times New Roman"/>
                <w:sz w:val="20"/>
                <w:szCs w:val="20"/>
              </w:rPr>
              <w:t>Identificação da instituição e do curso:</w:t>
            </w:r>
          </w:p>
        </w:tc>
        <w:tc>
          <w:tcPr>
            <w:tcW w:w="709" w:type="dxa"/>
            <w:vAlign w:val="center"/>
          </w:tcPr>
          <w:p w14:paraId="3AEACA96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C6ABA87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82A550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07/08</w:t>
            </w:r>
          </w:p>
        </w:tc>
      </w:tr>
      <w:tr w:rsidR="00287595" w:rsidRPr="00E6606A" w14:paraId="6438E310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7F75BE9D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06A">
              <w:rPr>
                <w:rFonts w:ascii="Times New Roman" w:hAnsi="Times New Roman" w:cs="Times New Roman"/>
                <w:sz w:val="20"/>
                <w:szCs w:val="20"/>
              </w:rPr>
              <w:t>Dados do curso realizado:</w:t>
            </w:r>
          </w:p>
        </w:tc>
        <w:tc>
          <w:tcPr>
            <w:tcW w:w="709" w:type="dxa"/>
            <w:vAlign w:val="center"/>
          </w:tcPr>
          <w:p w14:paraId="631E79C1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331DE2C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24F787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07</w:t>
            </w:r>
          </w:p>
        </w:tc>
      </w:tr>
      <w:tr w:rsidR="00287595" w:rsidRPr="00E6606A" w14:paraId="60C3B32B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756BC1AA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06A">
              <w:rPr>
                <w:rFonts w:ascii="Times New Roman" w:hAnsi="Times New Roman" w:cs="Times New Roman"/>
                <w:sz w:val="20"/>
                <w:szCs w:val="20"/>
              </w:rPr>
              <w:t>Carga horária totais das disciplinas obrigatórias cursadas</w:t>
            </w:r>
          </w:p>
        </w:tc>
        <w:tc>
          <w:tcPr>
            <w:tcW w:w="709" w:type="dxa"/>
            <w:vAlign w:val="center"/>
          </w:tcPr>
          <w:p w14:paraId="41F18354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 xml:space="preserve">   X</w:t>
            </w:r>
          </w:p>
        </w:tc>
        <w:tc>
          <w:tcPr>
            <w:tcW w:w="708" w:type="dxa"/>
            <w:vAlign w:val="center"/>
          </w:tcPr>
          <w:p w14:paraId="69480EFF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74328B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09</w:t>
            </w:r>
          </w:p>
        </w:tc>
      </w:tr>
      <w:tr w:rsidR="00287595" w:rsidRPr="00E6606A" w14:paraId="5FDCC307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4EBD6D0F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06A">
              <w:rPr>
                <w:rFonts w:ascii="Times New Roman" w:hAnsi="Times New Roman" w:cs="Times New Roman"/>
                <w:sz w:val="20"/>
                <w:szCs w:val="20"/>
              </w:rPr>
              <w:t>Número de horas aula práticas cursadas</w:t>
            </w:r>
          </w:p>
        </w:tc>
        <w:tc>
          <w:tcPr>
            <w:tcW w:w="709" w:type="dxa"/>
            <w:vAlign w:val="center"/>
          </w:tcPr>
          <w:p w14:paraId="540DBCA1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E0A40B6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6606A"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5A613FE3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06A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09</w:t>
            </w:r>
          </w:p>
        </w:tc>
      </w:tr>
      <w:tr w:rsidR="00287595" w:rsidRPr="00E6606A" w14:paraId="6CE43536" w14:textId="77777777" w:rsidTr="006D6B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7372" w:type="dxa"/>
            <w:vAlign w:val="center"/>
          </w:tcPr>
          <w:p w14:paraId="3332BC09" w14:textId="77777777" w:rsidR="00287595" w:rsidRPr="00E6606A" w:rsidRDefault="00287595" w:rsidP="006D6B8C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06A">
              <w:rPr>
                <w:rFonts w:ascii="Times New Roman" w:hAnsi="Times New Roman" w:cs="Times New Roman"/>
                <w:sz w:val="20"/>
                <w:szCs w:val="20"/>
              </w:rPr>
              <w:t>Percentual de Professores com Mestrado ou Doutorado</w:t>
            </w:r>
          </w:p>
        </w:tc>
        <w:tc>
          <w:tcPr>
            <w:tcW w:w="709" w:type="dxa"/>
            <w:vAlign w:val="center"/>
          </w:tcPr>
          <w:p w14:paraId="3C646C9A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3A726C9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jc w:val="center"/>
              <w:rPr>
                <w:rStyle w:val="nfas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87DADD" w14:textId="77777777" w:rsidR="00287595" w:rsidRPr="00E6606A" w:rsidRDefault="00287595" w:rsidP="006D6B8C">
            <w:pPr>
              <w:pStyle w:val="PargrafodaLista"/>
              <w:tabs>
                <w:tab w:val="left" w:pos="284"/>
              </w:tabs>
              <w:spacing w:line="276" w:lineRule="auto"/>
              <w:ind w:left="0"/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606A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6606A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09/10</w:t>
            </w:r>
          </w:p>
        </w:tc>
      </w:tr>
    </w:tbl>
    <w:p w14:paraId="3463B17A" w14:textId="2EFB0B52" w:rsidR="00287595" w:rsidRPr="00E6606A" w:rsidRDefault="00287595" w:rsidP="00287595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D826E5C" w14:textId="3AB627B6" w:rsidR="00287595" w:rsidRPr="00E6606A" w:rsidRDefault="00287595" w:rsidP="00287595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606A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Considerando que, quanto ao fato apresentado sobre o não atendimento do número de horas aula prática cursadas, o jurídico do CAU/MT emitiu o Parecer Referencial nº 13/2021 (protocolo 1358195/2021), alertando “que em pesquisa acerca de decisões judiciais sobre o tema em questão, há nos Tribunais Regionais Federais de Regiões diversas do Brasil entendimento de que o Conselho Profissional, não pode impedir o reconhecimento ou validade de certificados regularmente expedidos por instituições, devidamente habilitadas junto ao MEC e vistoriadas pela União Federal, vejamos dispõe”:</w:t>
      </w:r>
    </w:p>
    <w:p w14:paraId="2FD09238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606A">
        <w:rPr>
          <w:rFonts w:ascii="Times New Roman" w:hAnsi="Times New Roman" w:cs="Times New Roman"/>
          <w:sz w:val="20"/>
          <w:szCs w:val="20"/>
        </w:rPr>
        <w:t>“...</w:t>
      </w:r>
    </w:p>
    <w:p w14:paraId="6F863D2A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60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ADMINISTRATIVO. CONSELHO FEDERAL DE ODONTOLOGIA. CURSO DE ESPECIALIZAÇÃO CREDENCIADO PELO MEC. VALIDADE RECONHECIDA. </w:t>
      </w:r>
    </w:p>
    <w:p w14:paraId="0BE577C3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D301EEC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606A">
        <w:rPr>
          <w:rFonts w:ascii="Times New Roman" w:hAnsi="Times New Roman" w:cs="Times New Roman"/>
          <w:i/>
          <w:iCs/>
          <w:sz w:val="20"/>
          <w:szCs w:val="20"/>
        </w:rPr>
        <w:t xml:space="preserve">1. In casu, a magistrada a quo observou, com inteiro acerto, que "falece aos conselhos profissionais qualquer competência, supletiva ou subsidiária, para fiscalizar o ensino superior. Muito menos se justifica ou se permite esse exercício fiscalizador para negar reconhecimento ou validade a certificados regularmente expedidos por instituições devidamente habilitadas junto ao MEC e vistoriadas pela União Federal". Julgou, assim, procedente o pedido para determinar o registro da autora como especialista em ortodontia, decorrente da conclusão de curso de pós-graduação lato sensu. </w:t>
      </w:r>
    </w:p>
    <w:p w14:paraId="3A1F2E95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14:paraId="594AE4DE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606A">
        <w:rPr>
          <w:rFonts w:ascii="Times New Roman" w:hAnsi="Times New Roman" w:cs="Times New Roman"/>
          <w:i/>
          <w:iCs/>
          <w:sz w:val="20"/>
          <w:szCs w:val="20"/>
        </w:rPr>
        <w:t xml:space="preserve">2. Nessa mesma linha de entendimento, já decidiu esta e. Corte de Justiça Regional: "A jurisprudência possui entendimento no sentido de que compete aos conselhos profissionais a fiscalização do exercício da respectiva atividade profissional, não lhes cabendo aferir regularidade de cursos de especialização ou pós-graduação lato sensu, atribuição esta conferida ao Ministério da Educação." (REOMS 2009.35.00.016013-4 / GO, rel. JUIZ FEDERAL CLODOMIR SEBASTIÃO REIS (CONV.), 01/03/2013 e-DJF1 P. 1186). 3. Apelação não provida. Sentença mantida. (AC 0031551-93.2011.4.01.3800, JUÍZA FEDERAL MARIA CECÍLIA DE MARCO ROCHA (CONV.), TRF1 - SÉTIMA TURMA, e-DJF1 30/01/2015 PAG 843.) </w:t>
      </w:r>
    </w:p>
    <w:p w14:paraId="293AF137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449948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606A">
        <w:rPr>
          <w:rFonts w:ascii="Times New Roman" w:hAnsi="Times New Roman" w:cs="Times New Roman"/>
          <w:b/>
          <w:bCs/>
          <w:sz w:val="20"/>
          <w:szCs w:val="20"/>
        </w:rPr>
        <w:t>ADMINISTRATIVO E PROCESSUAL CIVIL. PROVA PRÉ-CONSTITUÍDA EM AÇÃO MANDAMENTAL. REGISTRO COMO ESPECIALISTA NO CONSELHO REGIONAL DE ODONTOLOGIA. EXAME DO MÉRITO. ARTIGO 515, § 3º DO CPC</w:t>
      </w:r>
      <w:r w:rsidRPr="00E660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B931E1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606A">
        <w:rPr>
          <w:rFonts w:ascii="Times New Roman" w:hAnsi="Times New Roman" w:cs="Times New Roman"/>
          <w:sz w:val="20"/>
          <w:szCs w:val="20"/>
        </w:rPr>
        <w:t xml:space="preserve">1. Nos termos do § 3º do art. 515 do CPC, introduzido pela lei 10.352/2001, na hipótese de extinção do processo sem julgamento do mérito, por sentença, pode o Tribunal, entendendo diferentemente, em grau de recurso, examinar desde logo a lide, se a matéria for eminentemente de direito e a causa estiver em condições de imediato julgamento. 2. Hipótese em que a prova documental exigida na sentença dizia com o próprio mérito do mandado de segurança, já que necessidade da sua apresentação, para os efeitos pretendidos na inicial, configurava questão prejudicial, portanto, controvérsia de mérito. 3. As Universidades públicas e privadas gozam de autonomia didático-científica, estando autorizadas, nos termos da Lei de Diretrizes e Bases da Educação, a criar, modificar, extinguir e estabelecer o currículo dos cursos superiores que oferecem, em especial, o de pós graduação lato sensu ou especialização, bem como a conferir grau e proceder ao registro dos certificados respectivos. 4. Tendo os impetrantes freqüentado curso de Pós-Graduação lato sensu, em Universidade regular, e tendo obtido grau de especialista, fazem jus ao registro de seus certificados no Conselho Regional de Odontologia. 5. Apelação provida. </w:t>
      </w:r>
    </w:p>
    <w:p w14:paraId="32BB4C98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606A">
        <w:rPr>
          <w:rFonts w:ascii="Times New Roman" w:hAnsi="Times New Roman" w:cs="Times New Roman"/>
          <w:sz w:val="20"/>
          <w:szCs w:val="20"/>
        </w:rPr>
        <w:lastRenderedPageBreak/>
        <w:t xml:space="preserve">(TRF-4 - AMS: 22117 RS 2000.71.00.022117-3, Relator: TAÍS SCHILLING FERRAZ, Data de Julgamento: 30/04/2002, TERCEIRA TURMA, Data de Publicação: DJ 06/06/2002 PÁGINA: 537) </w:t>
      </w:r>
    </w:p>
    <w:p w14:paraId="5676447A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14:paraId="122DCD52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606A">
        <w:rPr>
          <w:rFonts w:ascii="Times New Roman" w:hAnsi="Times New Roman" w:cs="Times New Roman"/>
          <w:b/>
          <w:bCs/>
          <w:sz w:val="20"/>
          <w:szCs w:val="20"/>
        </w:rPr>
        <w:t>ADMINISTRATIVO. MANDADO DE SEGURANÇA. REMESSA NECESSÁRIA. CONSELHO REGIONAL DE ENFERMAGEM. REGISTRO DE CURSO DE ESPECIALIZAÇÃO. APRESENTAÇÃO DE DIPLOMA. POSSIBILIDADE</w:t>
      </w:r>
      <w:r w:rsidRPr="00E660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2A83D5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14:paraId="341028F8" w14:textId="77777777" w:rsidR="00287595" w:rsidRPr="00E6606A" w:rsidRDefault="00287595" w:rsidP="00287595">
      <w:pPr>
        <w:pStyle w:val="Defaul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606A">
        <w:rPr>
          <w:rFonts w:ascii="Times New Roman" w:hAnsi="Times New Roman" w:cs="Times New Roman"/>
          <w:sz w:val="20"/>
          <w:szCs w:val="20"/>
        </w:rPr>
        <w:t xml:space="preserve">I - Em que pese a determinação regulamentar dos Conselhos Regional e Federal de Enfermagem quanto à necessidade de apresentação de diploma como único instrumento hábil à obtenção do registro do título de especialização, possuindo o profissional certificado de conclusão do referido curso, a morosidade da instituição de ensino em expedir o diploma em referência, não pode constituir óbice ao exercício do direito líquido e certo ao registro e anotação do título de especialista do profissional. </w:t>
      </w:r>
    </w:p>
    <w:p w14:paraId="6B007A79" w14:textId="77777777" w:rsidR="00287595" w:rsidRPr="00E6606A" w:rsidRDefault="00287595" w:rsidP="00287595">
      <w:pPr>
        <w:tabs>
          <w:tab w:val="left" w:pos="1418"/>
        </w:tabs>
        <w:spacing w:after="120"/>
        <w:ind w:left="1418"/>
        <w:jc w:val="both"/>
        <w:rPr>
          <w:rFonts w:ascii="Times New Roman" w:hAnsi="Times New Roman"/>
          <w:sz w:val="20"/>
          <w:szCs w:val="20"/>
        </w:rPr>
      </w:pPr>
      <w:r w:rsidRPr="00E6606A">
        <w:rPr>
          <w:rFonts w:ascii="Times New Roman" w:hAnsi="Times New Roman"/>
          <w:sz w:val="20"/>
          <w:szCs w:val="20"/>
        </w:rPr>
        <w:t>II - Em sendo assim, não merece reparo o julgado monocrático que determinou à impetrada o registro do curso de especialização efetivado e a conseqüente anotação na carteira de identidade funcional da impetrante, mediante a apresentação do certificado de conclusão do curso respectivo, sem prejuízo da posterior apresentação do diploma. III - Remessa oficial desprovida. Sentença confirmada. (REOMS 0003187-28.2008.4.01.3700, DESEMBARGADOR FEDERAL SOUZA PRUDENTE, TRF1 - OITAVA TURMA, e-DJF1 27/08/2010 PAG 420.)”</w:t>
      </w:r>
    </w:p>
    <w:p w14:paraId="0C6776A3" w14:textId="77777777" w:rsidR="00287595" w:rsidRPr="00E6606A" w:rsidRDefault="00287595" w:rsidP="00287595">
      <w:pPr>
        <w:tabs>
          <w:tab w:val="left" w:pos="1418"/>
        </w:tabs>
        <w:spacing w:after="120"/>
        <w:ind w:left="1418"/>
        <w:jc w:val="both"/>
        <w:rPr>
          <w:rFonts w:ascii="Times New Roman" w:hAnsi="Times New Roman"/>
          <w:sz w:val="20"/>
          <w:szCs w:val="20"/>
        </w:rPr>
      </w:pPr>
    </w:p>
    <w:p w14:paraId="783EF64C" w14:textId="77777777" w:rsidR="00287595" w:rsidRPr="00E6606A" w:rsidRDefault="00287595" w:rsidP="00287595">
      <w:pPr>
        <w:tabs>
          <w:tab w:val="left" w:pos="1418"/>
        </w:tabs>
        <w:spacing w:after="120"/>
        <w:ind w:left="1418"/>
        <w:jc w:val="both"/>
        <w:rPr>
          <w:rFonts w:ascii="Times New Roman" w:hAnsi="Times New Roman"/>
          <w:color w:val="000000"/>
          <w:sz w:val="23"/>
          <w:szCs w:val="23"/>
        </w:rPr>
      </w:pPr>
      <w:r w:rsidRPr="00E6606A">
        <w:rPr>
          <w:rFonts w:ascii="Times New Roman" w:hAnsi="Times New Roman"/>
          <w:sz w:val="20"/>
          <w:szCs w:val="20"/>
        </w:rPr>
        <w:t xml:space="preserve">Ressalta-se ainda, que o </w:t>
      </w:r>
      <w:r w:rsidRPr="00E6606A">
        <w:rPr>
          <w:rFonts w:ascii="Times New Roman" w:hAnsi="Times New Roman"/>
          <w:color w:val="000000"/>
          <w:sz w:val="23"/>
          <w:szCs w:val="23"/>
        </w:rPr>
        <w:t xml:space="preserve">inciso II do art. 53 da Lei nº 9394/96, diz: </w:t>
      </w:r>
    </w:p>
    <w:p w14:paraId="227BAC76" w14:textId="77777777" w:rsidR="00287595" w:rsidRPr="00E6606A" w:rsidRDefault="00287595" w:rsidP="00287595">
      <w:pPr>
        <w:tabs>
          <w:tab w:val="left" w:pos="1418"/>
        </w:tabs>
        <w:spacing w:after="120"/>
        <w:ind w:left="1418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E660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Art. 53. </w:t>
      </w:r>
      <w:r w:rsidRPr="00E6606A">
        <w:rPr>
          <w:rFonts w:ascii="Times New Roman" w:hAnsi="Times New Roman"/>
          <w:i/>
          <w:iCs/>
          <w:color w:val="000000"/>
          <w:sz w:val="23"/>
          <w:szCs w:val="23"/>
        </w:rPr>
        <w:t xml:space="preserve">No exercício de sua autonomia, são asseguradas às universidades, sem prejuízo de outras, as seguintes atribuições: </w:t>
      </w:r>
    </w:p>
    <w:p w14:paraId="7D93DF3D" w14:textId="77777777" w:rsidR="00287595" w:rsidRPr="00E6606A" w:rsidRDefault="00287595" w:rsidP="00287595">
      <w:pPr>
        <w:tabs>
          <w:tab w:val="left" w:pos="1418"/>
        </w:tabs>
        <w:spacing w:after="120"/>
        <w:ind w:left="1418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E6606A">
        <w:rPr>
          <w:rFonts w:ascii="Times New Roman" w:hAnsi="Times New Roman"/>
          <w:i/>
          <w:iCs/>
          <w:color w:val="000000"/>
          <w:sz w:val="23"/>
          <w:szCs w:val="23"/>
        </w:rPr>
        <w:t>...</w:t>
      </w:r>
    </w:p>
    <w:p w14:paraId="2CE82617" w14:textId="77777777" w:rsidR="00287595" w:rsidRPr="00E6606A" w:rsidRDefault="00287595" w:rsidP="00287595">
      <w:pPr>
        <w:tabs>
          <w:tab w:val="left" w:pos="1418"/>
        </w:tabs>
        <w:spacing w:after="120"/>
        <w:ind w:left="1418"/>
        <w:jc w:val="both"/>
        <w:rPr>
          <w:rFonts w:ascii="Times New Roman" w:hAnsi="Times New Roman"/>
          <w:sz w:val="20"/>
          <w:szCs w:val="20"/>
        </w:rPr>
      </w:pPr>
      <w:r w:rsidRPr="00E6606A">
        <w:rPr>
          <w:rFonts w:ascii="Times New Roman" w:hAnsi="Times New Roman"/>
          <w:i/>
          <w:iCs/>
          <w:color w:val="000000"/>
          <w:sz w:val="23"/>
          <w:szCs w:val="23"/>
        </w:rPr>
        <w:t>II- fixar os currículos dos seus cursos e programas, observadas as diretrizes gerais pertinentes.”</w:t>
      </w:r>
    </w:p>
    <w:p w14:paraId="610A0ECE" w14:textId="77777777" w:rsidR="00287595" w:rsidRPr="00E6606A" w:rsidRDefault="00287595" w:rsidP="00287595">
      <w:pPr>
        <w:tabs>
          <w:tab w:val="left" w:pos="1418"/>
        </w:tabs>
        <w:spacing w:after="120"/>
        <w:ind w:firstLine="1134"/>
        <w:jc w:val="both"/>
        <w:rPr>
          <w:rFonts w:ascii="Times New Roman" w:hAnsi="Times New Roman"/>
        </w:rPr>
      </w:pPr>
    </w:p>
    <w:p w14:paraId="59E6D57E" w14:textId="77777777" w:rsidR="00287595" w:rsidRPr="00E6606A" w:rsidRDefault="00287595" w:rsidP="00287595">
      <w:pPr>
        <w:pStyle w:val="NormalWeb"/>
        <w:shd w:val="clear" w:color="auto" w:fill="FFFFFF"/>
        <w:ind w:firstLine="1418"/>
        <w:jc w:val="both"/>
        <w:rPr>
          <w:rFonts w:ascii="Times New Roman" w:eastAsia="Calibri" w:hAnsi="Times New Roman"/>
          <w:sz w:val="22"/>
          <w:szCs w:val="22"/>
        </w:rPr>
      </w:pPr>
      <w:r w:rsidRPr="00E6606A">
        <w:rPr>
          <w:rFonts w:ascii="Times New Roman" w:eastAsia="Calibri" w:hAnsi="Times New Roman"/>
          <w:sz w:val="22"/>
          <w:szCs w:val="22"/>
        </w:rPr>
        <w:t>Ainda sobre o fato e conforme consta no art. 5º, em seu § 2º, da Resolução CAU/BR 162/2018, o que deve vincular este Conselho é as diretrizes curriculares fixadas pelo Conselho Nacional de Educação. Como é sabido, o Ministério da Educação (MEC) é o órgão responsável por editar normas e regras para a criação de cursos de graduação e pós-graduação no Brasil e este Conselho apenas contribui para com o MEC.</w:t>
      </w:r>
    </w:p>
    <w:p w14:paraId="2A479D9E" w14:textId="77777777" w:rsidR="00287595" w:rsidRPr="00E6606A" w:rsidRDefault="00287595" w:rsidP="00287595">
      <w:pPr>
        <w:pStyle w:val="NormalWeb"/>
        <w:shd w:val="clear" w:color="auto" w:fill="FFFFFF"/>
        <w:ind w:firstLine="1418"/>
        <w:jc w:val="both"/>
        <w:rPr>
          <w:rFonts w:ascii="Times New Roman" w:eastAsia="Calibri" w:hAnsi="Times New Roman"/>
          <w:sz w:val="22"/>
          <w:szCs w:val="22"/>
        </w:rPr>
      </w:pPr>
    </w:p>
    <w:p w14:paraId="079928C1" w14:textId="5E644332" w:rsidR="00287595" w:rsidRDefault="00287595" w:rsidP="00287595">
      <w:pPr>
        <w:pStyle w:val="NormalWeb"/>
        <w:shd w:val="clear" w:color="auto" w:fill="FFFFFF"/>
        <w:ind w:firstLine="1418"/>
        <w:jc w:val="both"/>
        <w:rPr>
          <w:rFonts w:ascii="Times New Roman" w:eastAsia="Calibri" w:hAnsi="Times New Roman"/>
          <w:sz w:val="22"/>
          <w:szCs w:val="22"/>
        </w:rPr>
      </w:pPr>
      <w:r w:rsidRPr="00E6606A">
        <w:rPr>
          <w:rFonts w:ascii="Times New Roman" w:eastAsia="Calibri" w:hAnsi="Times New Roman"/>
          <w:sz w:val="22"/>
          <w:szCs w:val="22"/>
        </w:rPr>
        <w:t xml:space="preserve">Assim sendo, não pode o CAU/MT ultrapassar os limites das suas atribuições, que têm por escopo a fiscalização do exercício profissional, cabendo ao Ministério da Educação o exame da regularidade dos cursos de graduação e pós-graduação. </w:t>
      </w:r>
    </w:p>
    <w:p w14:paraId="4772C33C" w14:textId="18B8A81F" w:rsidR="00E6606A" w:rsidRDefault="00E6606A" w:rsidP="00287595">
      <w:pPr>
        <w:pStyle w:val="NormalWeb"/>
        <w:shd w:val="clear" w:color="auto" w:fill="FFFFFF"/>
        <w:ind w:firstLine="1418"/>
        <w:jc w:val="both"/>
        <w:rPr>
          <w:rFonts w:ascii="Times New Roman" w:eastAsia="Calibri" w:hAnsi="Times New Roman"/>
          <w:sz w:val="22"/>
          <w:szCs w:val="22"/>
        </w:rPr>
      </w:pPr>
    </w:p>
    <w:p w14:paraId="1873055F" w14:textId="26EE02E7" w:rsidR="00E6606A" w:rsidRPr="00E6606A" w:rsidRDefault="00E6606A" w:rsidP="00E6606A">
      <w:pPr>
        <w:spacing w:after="0" w:line="240" w:lineRule="auto"/>
        <w:jc w:val="both"/>
        <w:rPr>
          <w:rFonts w:ascii="Times New Roman" w:hAnsi="Times New Roman"/>
        </w:rPr>
      </w:pPr>
      <w:r w:rsidRPr="00E6606A">
        <w:rPr>
          <w:rFonts w:ascii="Times New Roman" w:hAnsi="Times New Roman"/>
        </w:rPr>
        <w:t xml:space="preserve">Considerando que o Presidente do Conselho de Arquitetura e Urbanismo de Mato Grosso (CAU/MT), no uso das competências que lhe conferem a Lei 12.378/2010 o art. 151, incisos I, II e XXXI do </w:t>
      </w:r>
      <w:r w:rsidRPr="00E6606A">
        <w:rPr>
          <w:rFonts w:ascii="Times New Roman" w:hAnsi="Times New Roman"/>
        </w:rPr>
        <w:lastRenderedPageBreak/>
        <w:t>Regimento Interno do CAU/MT, de 09 de fevereiro de 2019, realizou a Deliberação Plenária Ad Referendum n.º 00</w:t>
      </w:r>
      <w:r w:rsidR="00BB799C">
        <w:rPr>
          <w:rFonts w:ascii="Times New Roman" w:hAnsi="Times New Roman"/>
        </w:rPr>
        <w:t>9</w:t>
      </w:r>
      <w:r w:rsidRPr="00E6606A">
        <w:rPr>
          <w:rFonts w:ascii="Times New Roman" w:hAnsi="Times New Roman"/>
        </w:rPr>
        <w:t>/2022.</w:t>
      </w:r>
    </w:p>
    <w:p w14:paraId="46A58C84" w14:textId="77777777" w:rsidR="005D4241" w:rsidRPr="00E6606A" w:rsidRDefault="005D4241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47670C1" w14:textId="77777777" w:rsidR="00287595" w:rsidRPr="00E6606A" w:rsidRDefault="00CE2978" w:rsidP="00287595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606A">
        <w:rPr>
          <w:rFonts w:ascii="Times New Roman" w:hAnsi="Times New Roman"/>
        </w:rPr>
        <w:t>Considerando que o ato ad referendum é instituído para resolver c</w:t>
      </w:r>
      <w:r w:rsidR="00FA22FE" w:rsidRPr="00E6606A">
        <w:rPr>
          <w:rFonts w:ascii="Times New Roman" w:hAnsi="Times New Roman"/>
        </w:rPr>
        <w:t>asos em regime urgência e que o profissional</w:t>
      </w:r>
      <w:r w:rsidRPr="00E6606A">
        <w:rPr>
          <w:rFonts w:ascii="Times New Roman" w:hAnsi="Times New Roman"/>
        </w:rPr>
        <w:t xml:space="preserve"> </w:t>
      </w:r>
      <w:r w:rsidR="00FA22FE" w:rsidRPr="00E6606A">
        <w:rPr>
          <w:rFonts w:ascii="Times New Roman" w:hAnsi="Times New Roman"/>
        </w:rPr>
        <w:t>solicita análise do seu registro em regime de urgência</w:t>
      </w:r>
      <w:r w:rsidR="00305D9A" w:rsidRPr="00E6606A">
        <w:rPr>
          <w:rFonts w:ascii="Times New Roman" w:hAnsi="Times New Roman"/>
        </w:rPr>
        <w:t>,</w:t>
      </w:r>
      <w:r w:rsidR="00FA22FE" w:rsidRPr="00E6606A">
        <w:rPr>
          <w:rFonts w:ascii="Times New Roman" w:hAnsi="Times New Roman"/>
        </w:rPr>
        <w:t xml:space="preserve"> conforme motivos supracitados</w:t>
      </w:r>
      <w:r w:rsidR="00305D9A" w:rsidRPr="00E6606A">
        <w:rPr>
          <w:rFonts w:ascii="Times New Roman" w:hAnsi="Times New Roman"/>
        </w:rPr>
        <w:t xml:space="preserve"> </w:t>
      </w:r>
      <w:r w:rsidR="00287595" w:rsidRPr="00E6606A">
        <w:rPr>
          <w:rFonts w:ascii="Times New Roman" w:hAnsi="Times New Roman"/>
        </w:rPr>
        <w:t xml:space="preserve">e especialmente, respaldado pela </w:t>
      </w:r>
      <w:r w:rsidR="00287595" w:rsidRPr="00E6606A">
        <w:rPr>
          <w:rFonts w:ascii="Times New Roman" w:eastAsia="Times New Roman" w:hAnsi="Times New Roman"/>
          <w:sz w:val="24"/>
          <w:szCs w:val="24"/>
          <w:lang w:eastAsia="pt-BR"/>
        </w:rPr>
        <w:t>Resolução CAU/BR nº 162/2018.</w:t>
      </w:r>
    </w:p>
    <w:p w14:paraId="0A95DE2C" w14:textId="77777777" w:rsidR="00CE2978" w:rsidRPr="00E6606A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</w:rPr>
      </w:pPr>
    </w:p>
    <w:p w14:paraId="3278E6AC" w14:textId="77777777" w:rsidR="00CE2978" w:rsidRPr="00E6606A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</w:rPr>
      </w:pPr>
      <w:r w:rsidRPr="00E6606A">
        <w:rPr>
          <w:rFonts w:ascii="Times New Roman" w:hAnsi="Times New Roman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3362029" w14:textId="77777777" w:rsidR="00CE2978" w:rsidRPr="00E6606A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CB045" w14:textId="77777777" w:rsidR="008A100A" w:rsidRPr="00E6606A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05B6" w14:textId="77777777" w:rsidR="00CE2978" w:rsidRPr="00E6606A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06A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3D7EC4E6" w14:textId="77777777" w:rsidR="00CE2978" w:rsidRPr="00E6606A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26D8AD" w14:textId="41A0B0AE" w:rsidR="00287595" w:rsidRPr="00E6606A" w:rsidRDefault="00287595" w:rsidP="00287595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Aprovar </w:t>
      </w:r>
      <w:r w:rsidR="00E6606A"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Deliberação Plenária Ad Referundum n.º 009/2022, homologando a </w:t>
      </w:r>
      <w:r w:rsidRPr="00E6606A">
        <w:rPr>
          <w:rFonts w:ascii="Times New Roman" w:eastAsia="Times New Roman" w:hAnsi="Times New Roman"/>
          <w:sz w:val="24"/>
          <w:szCs w:val="24"/>
          <w:lang w:eastAsia="pt-BR"/>
        </w:rPr>
        <w:t>inclusão de Pós-graduação em Engenharia de Segurança do Trabalho da arquiteta e urbanista DANIELA MUNIZ DE OLIVEIRA, devidamente realizado por meio do protocolo n.º 1555739/2022.</w:t>
      </w:r>
    </w:p>
    <w:p w14:paraId="22B2C1F5" w14:textId="77777777" w:rsidR="00287595" w:rsidRPr="00E6606A" w:rsidRDefault="00287595" w:rsidP="0028759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EBFFCCE" w14:textId="4C52CFD3" w:rsidR="00471EB5" w:rsidRPr="00E6606A" w:rsidRDefault="00471EB5" w:rsidP="00E6606A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Esta deliberação entra em vigor </w:t>
      </w:r>
      <w:r w:rsidR="00E6606A" w:rsidRPr="00E6606A">
        <w:rPr>
          <w:rFonts w:ascii="Times New Roman" w:eastAsia="Times New Roman" w:hAnsi="Times New Roman"/>
          <w:sz w:val="24"/>
          <w:szCs w:val="24"/>
          <w:lang w:eastAsia="pt-BR"/>
        </w:rPr>
        <w:t>nesta data.</w:t>
      </w:r>
      <w:r w:rsidRPr="00E6606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16AF3E46" w14:textId="77777777" w:rsidR="00E6606A" w:rsidRPr="00E6606A" w:rsidRDefault="00E6606A" w:rsidP="00E6606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38A94C9D" w14:textId="77777777" w:rsidR="000270ED" w:rsidRPr="00345126" w:rsidRDefault="000270ED" w:rsidP="000270ED">
      <w:pPr>
        <w:jc w:val="both"/>
        <w:rPr>
          <w:rFonts w:ascii="Times New Roman" w:hAnsi="Times New Roman"/>
          <w:b/>
          <w:bCs/>
          <w:color w:val="000000"/>
        </w:rPr>
      </w:pPr>
      <w:r w:rsidRPr="00345126">
        <w:rPr>
          <w:rFonts w:ascii="Times New Roman" w:hAnsi="Times New Roman"/>
          <w:color w:val="000000"/>
        </w:rPr>
        <w:t xml:space="preserve">Com 06 </w:t>
      </w:r>
      <w:r w:rsidRPr="00345126">
        <w:rPr>
          <w:rFonts w:ascii="Times New Roman" w:hAnsi="Times New Roman"/>
          <w:b/>
          <w:color w:val="000000"/>
        </w:rPr>
        <w:t xml:space="preserve">votos favoráveis </w:t>
      </w:r>
      <w:r w:rsidRPr="00345126">
        <w:rPr>
          <w:rFonts w:ascii="Times New Roman" w:hAnsi="Times New Roman"/>
          <w:color w:val="000000"/>
        </w:rPr>
        <w:t xml:space="preserve">dos conselheiros Karen Mayumi Matsumoto, Weverthon Foles Veras, Elisângela Fernandes Bokorni, Alexsandro Reis, Thiago Rafael Pandini e Thais Bacchi; 00 </w:t>
      </w:r>
      <w:r w:rsidRPr="00345126">
        <w:rPr>
          <w:rFonts w:ascii="Times New Roman" w:hAnsi="Times New Roman"/>
          <w:b/>
          <w:color w:val="000000"/>
        </w:rPr>
        <w:t>votos contrários</w:t>
      </w:r>
      <w:r w:rsidRPr="00345126">
        <w:rPr>
          <w:rFonts w:ascii="Times New Roman" w:hAnsi="Times New Roman"/>
          <w:color w:val="000000"/>
        </w:rPr>
        <w:t xml:space="preserve">; 00 </w:t>
      </w:r>
      <w:r w:rsidRPr="00345126">
        <w:rPr>
          <w:rFonts w:ascii="Times New Roman" w:hAnsi="Times New Roman"/>
          <w:b/>
          <w:color w:val="000000"/>
        </w:rPr>
        <w:t>abstenções</w:t>
      </w:r>
      <w:r w:rsidRPr="00345126">
        <w:rPr>
          <w:rFonts w:ascii="Times New Roman" w:hAnsi="Times New Roman"/>
          <w:color w:val="000000"/>
        </w:rPr>
        <w:t xml:space="preserve">; 03 </w:t>
      </w:r>
      <w:r w:rsidRPr="00345126">
        <w:rPr>
          <w:rFonts w:ascii="Times New Roman" w:hAnsi="Times New Roman"/>
          <w:b/>
          <w:color w:val="000000"/>
        </w:rPr>
        <w:t xml:space="preserve">ausências </w:t>
      </w:r>
      <w:r w:rsidRPr="00345126">
        <w:rPr>
          <w:rFonts w:ascii="Times New Roman" w:hAnsi="Times New Roman"/>
          <w:bCs/>
          <w:color w:val="000000"/>
        </w:rPr>
        <w:t>dos conselheiros</w:t>
      </w:r>
      <w:r w:rsidRPr="00345126">
        <w:rPr>
          <w:rFonts w:ascii="Times New Roman" w:hAnsi="Times New Roman"/>
          <w:color w:val="000000"/>
        </w:rPr>
        <w:t xml:space="preserve"> Maristene Amaral Matos, Dionísio Carlos de Oliveira e Adriano dos Santos</w:t>
      </w:r>
    </w:p>
    <w:p w14:paraId="39BC9F6B" w14:textId="77777777" w:rsidR="00E6606A" w:rsidRPr="00E6606A" w:rsidRDefault="00E6606A" w:rsidP="00E6606A">
      <w:pPr>
        <w:pStyle w:val="Pargrafoda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525A68" w14:textId="77777777" w:rsidR="00AD1B88" w:rsidRPr="00E6606A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4426" w14:textId="77777777" w:rsidR="00630EFE" w:rsidRPr="00E6606A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06A">
        <w:rPr>
          <w:rFonts w:ascii="Times New Roman" w:hAnsi="Times New Roman"/>
          <w:b/>
          <w:sz w:val="24"/>
          <w:szCs w:val="24"/>
        </w:rPr>
        <w:t>André Nör</w:t>
      </w:r>
    </w:p>
    <w:p w14:paraId="67033766" w14:textId="457CA710" w:rsidR="00630EFE" w:rsidRPr="00E6606A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06A">
        <w:rPr>
          <w:rFonts w:ascii="Times New Roman" w:hAnsi="Times New Roman"/>
          <w:sz w:val="24"/>
          <w:szCs w:val="24"/>
        </w:rPr>
        <w:t>Presidente do CAU/MT</w:t>
      </w:r>
    </w:p>
    <w:p w14:paraId="5A21F238" w14:textId="236902DB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9F4974" w14:textId="0FD19BF8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592EBD" w14:textId="33630AF6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A85468" w14:textId="49BB2034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CF3FA3" w14:textId="6BC91466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207223" w14:textId="23C75D8B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5C5325" w14:textId="1AEE8E62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D8F435" w14:textId="3A1D6E58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1EFEB0" w14:textId="3E1D5BD0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58050C" w14:textId="56C63F9A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82D12A" w14:textId="4B9EE00B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AC52AA" w14:textId="77777777" w:rsidR="000270ED" w:rsidRPr="008839D0" w:rsidRDefault="000270ED" w:rsidP="000270ED">
      <w:pPr>
        <w:jc w:val="center"/>
        <w:rPr>
          <w:rFonts w:ascii="Times New Roman" w:eastAsia="Times New Roman" w:hAnsi="Times New Roman"/>
          <w:b/>
          <w:color w:val="000000"/>
        </w:rPr>
      </w:pPr>
      <w:bookmarkStart w:id="0" w:name="_Hlk124574988"/>
      <w:r w:rsidRPr="008839D0">
        <w:rPr>
          <w:rFonts w:ascii="Times New Roman" w:eastAsia="Times New Roman" w:hAnsi="Times New Roman"/>
          <w:b/>
          <w:color w:val="000000"/>
        </w:rPr>
        <w:t>Folha De Votação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583"/>
        <w:gridCol w:w="597"/>
        <w:gridCol w:w="1194"/>
        <w:gridCol w:w="1991"/>
      </w:tblGrid>
      <w:tr w:rsidR="000270ED" w:rsidRPr="008839D0" w14:paraId="5917B786" w14:textId="77777777" w:rsidTr="00325B02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08E2" w14:textId="77777777" w:rsidR="000270ED" w:rsidRPr="008839D0" w:rsidRDefault="000270ED" w:rsidP="0032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39D0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14:paraId="101D7C04" w14:textId="77777777" w:rsidR="000270ED" w:rsidRPr="008839D0" w:rsidRDefault="000270ED" w:rsidP="0032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39D0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603C" w14:textId="77777777" w:rsidR="000270ED" w:rsidRPr="008839D0" w:rsidRDefault="000270ED" w:rsidP="0032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39D0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0270ED" w:rsidRPr="008839D0" w14:paraId="168175AF" w14:textId="77777777" w:rsidTr="00325B02"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A0A" w14:textId="77777777" w:rsidR="000270ED" w:rsidRPr="008839D0" w:rsidRDefault="000270ED" w:rsidP="00325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0415" w14:textId="77777777" w:rsidR="000270ED" w:rsidRPr="008839D0" w:rsidRDefault="000270ED" w:rsidP="00325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39D0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7C9D" w14:textId="77777777" w:rsidR="000270ED" w:rsidRPr="008839D0" w:rsidRDefault="000270ED" w:rsidP="00325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39D0"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447D" w14:textId="77777777" w:rsidR="000270ED" w:rsidRPr="008839D0" w:rsidRDefault="000270ED" w:rsidP="00325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39D0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44C0" w14:textId="77777777" w:rsidR="000270ED" w:rsidRPr="008839D0" w:rsidRDefault="000270ED" w:rsidP="00325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39D0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0270ED" w:rsidRPr="008839D0" w14:paraId="0D18A57F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7ED5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9D0">
              <w:rPr>
                <w:rFonts w:ascii="Times New Roman" w:hAnsi="Times New Roman"/>
              </w:rPr>
              <w:t>André Nör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9D6D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35BE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7704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A8BF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70ED" w:rsidRPr="008839D0" w14:paraId="32FA54A6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A13A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E21"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E85D" w14:textId="13F21ECE" w:rsidR="000270ED" w:rsidRPr="00936E21" w:rsidRDefault="00BB799C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1DC4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A3D8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85C9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0ED" w:rsidRPr="008839D0" w14:paraId="35A557F4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3C0C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E21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6BD" w14:textId="4A9471DE" w:rsidR="000270ED" w:rsidRPr="00936E21" w:rsidRDefault="00BB799C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13FC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94A4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5F93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0ED" w:rsidRPr="008839D0" w14:paraId="6D572FF8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0568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E21">
              <w:rPr>
                <w:rFonts w:ascii="Times New Roman" w:hAnsi="Times New Roman"/>
              </w:rPr>
              <w:t>Elisângela Fernandes Bokorni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317C" w14:textId="3BE131DB" w:rsidR="000270ED" w:rsidRPr="00936E21" w:rsidRDefault="00BB799C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3F90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1ECD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6DBF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0ED" w:rsidRPr="008839D0" w14:paraId="2E13C499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3966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E21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E515" w14:textId="49428117" w:rsidR="000270ED" w:rsidRPr="00936E21" w:rsidRDefault="00BB799C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271A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ED6E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7EC2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0ED" w:rsidRPr="008839D0" w14:paraId="74E3AABF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FF9E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E21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28AA" w14:textId="175F23BA" w:rsidR="000270ED" w:rsidRPr="00936E21" w:rsidRDefault="00BB799C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DA8B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1011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2289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0ED" w:rsidRPr="008839D0" w14:paraId="3FEF0F19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5E71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E21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F508" w14:textId="37EA5E47" w:rsidR="000270ED" w:rsidRPr="00936E21" w:rsidRDefault="00BB799C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27E6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5CED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B6AE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0ED" w:rsidRPr="008839D0" w14:paraId="334734DB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FC69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E21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292D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85CE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FD3E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D8FD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E21">
              <w:rPr>
                <w:rFonts w:ascii="Times New Roman" w:hAnsi="Times New Roman"/>
                <w:b/>
                <w:bCs/>
              </w:rPr>
              <w:t>AUSENTE</w:t>
            </w:r>
          </w:p>
        </w:tc>
      </w:tr>
      <w:tr w:rsidR="000270ED" w:rsidRPr="008839D0" w14:paraId="5D9ECFC9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9252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E21">
              <w:rPr>
                <w:rFonts w:ascii="Times New Roman" w:hAnsi="Times New Roman"/>
              </w:rPr>
              <w:t>Dionísio Carlos de Oliveira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28AE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93B3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F081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3A5C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E21">
              <w:rPr>
                <w:rFonts w:ascii="Times New Roman" w:hAnsi="Times New Roman"/>
                <w:b/>
                <w:bCs/>
              </w:rPr>
              <w:t>AUSENTE</w:t>
            </w:r>
          </w:p>
        </w:tc>
      </w:tr>
      <w:tr w:rsidR="000270ED" w:rsidRPr="008839D0" w14:paraId="4E80255F" w14:textId="77777777" w:rsidTr="00325B0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2F4E" w14:textId="77777777" w:rsidR="000270ED" w:rsidRPr="008839D0" w:rsidRDefault="000270ED" w:rsidP="00325B0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E21"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A2A6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6F94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603A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5447" w14:textId="77777777" w:rsidR="000270ED" w:rsidRPr="00936E21" w:rsidRDefault="000270ED" w:rsidP="0032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E21">
              <w:rPr>
                <w:rFonts w:ascii="Times New Roman" w:hAnsi="Times New Roman"/>
                <w:b/>
                <w:bCs/>
              </w:rPr>
              <w:t>AUSENTE</w:t>
            </w:r>
          </w:p>
        </w:tc>
      </w:tr>
    </w:tbl>
    <w:p w14:paraId="252697D6" w14:textId="77777777" w:rsidR="000270ED" w:rsidRPr="008839D0" w:rsidRDefault="000270ED" w:rsidP="000270ED">
      <w:pPr>
        <w:jc w:val="both"/>
        <w:rPr>
          <w:rFonts w:ascii="Times New Roman" w:eastAsia="Times New Roman" w:hAnsi="Times New Roman"/>
          <w:b/>
          <w:color w:val="000000"/>
        </w:rPr>
      </w:pPr>
    </w:p>
    <w:bookmarkEnd w:id="0"/>
    <w:p w14:paraId="40EC92CF" w14:textId="77777777" w:rsidR="00E6606A" w:rsidRPr="00E6606A" w:rsidRDefault="00E6606A" w:rsidP="00E6606A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4EC8E4FE" w14:textId="77777777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</w:rPr>
      </w:pPr>
      <w:r w:rsidRPr="00E6606A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0C05BD4B" w14:textId="77777777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</w:rPr>
      </w:pPr>
    </w:p>
    <w:p w14:paraId="533B91A1" w14:textId="77777777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</w:rPr>
      </w:pPr>
      <w:r w:rsidRPr="00E6606A">
        <w:rPr>
          <w:rFonts w:ascii="Times New Roman" w:eastAsia="Times New Roman" w:hAnsi="Times New Roman"/>
          <w:b/>
          <w:color w:val="000000"/>
        </w:rPr>
        <w:t>Reunião Plenária Ordinária Nº 131                                     Data: 14 de janeiro de 2023</w:t>
      </w:r>
    </w:p>
    <w:p w14:paraId="2F4EADD9" w14:textId="77777777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</w:rPr>
      </w:pPr>
    </w:p>
    <w:p w14:paraId="787027EF" w14:textId="7C20678E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color w:val="000000"/>
        </w:rPr>
      </w:pPr>
      <w:r w:rsidRPr="00E6606A">
        <w:rPr>
          <w:rFonts w:ascii="Times New Roman" w:eastAsia="Times New Roman" w:hAnsi="Times New Roman"/>
          <w:b/>
          <w:color w:val="000000"/>
        </w:rPr>
        <w:t>Matéria em votação:</w:t>
      </w:r>
      <w:r w:rsidRPr="00E6606A">
        <w:rPr>
          <w:rFonts w:ascii="Times New Roman" w:eastAsia="Times New Roman" w:hAnsi="Times New Roman"/>
          <w:color w:val="000000"/>
        </w:rPr>
        <w:t xml:space="preserve"> </w:t>
      </w:r>
      <w:r w:rsidRPr="00E6606A">
        <w:rPr>
          <w:rFonts w:ascii="Times New Roman" w:hAnsi="Times New Roman"/>
          <w:color w:val="000000"/>
        </w:rPr>
        <w:t>Engenharia de Segurança do Trabalho</w:t>
      </w:r>
    </w:p>
    <w:p w14:paraId="01B8EE52" w14:textId="77777777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color w:val="000000"/>
        </w:rPr>
      </w:pPr>
    </w:p>
    <w:p w14:paraId="2E9B61E2" w14:textId="7F0DDA49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</w:rPr>
      </w:pPr>
      <w:r w:rsidRPr="00E6606A">
        <w:rPr>
          <w:rFonts w:ascii="Times New Roman" w:eastAsia="Times New Roman" w:hAnsi="Times New Roman"/>
          <w:b/>
          <w:color w:val="000000"/>
        </w:rPr>
        <w:t>Resultado da votação:</w:t>
      </w:r>
      <w:r w:rsidRPr="00E6606A">
        <w:rPr>
          <w:rFonts w:ascii="Times New Roman" w:eastAsia="Times New Roman" w:hAnsi="Times New Roman"/>
          <w:color w:val="000000"/>
        </w:rPr>
        <w:t xml:space="preserve"> </w:t>
      </w:r>
      <w:r w:rsidRPr="00E6606A">
        <w:rPr>
          <w:rFonts w:ascii="Times New Roman" w:eastAsia="Times New Roman" w:hAnsi="Times New Roman"/>
          <w:b/>
          <w:color w:val="000000"/>
        </w:rPr>
        <w:t>Sim</w:t>
      </w:r>
      <w:r w:rsidRPr="00E6606A">
        <w:rPr>
          <w:rFonts w:ascii="Times New Roman" w:eastAsia="Times New Roman" w:hAnsi="Times New Roman"/>
          <w:color w:val="000000"/>
        </w:rPr>
        <w:t xml:space="preserve"> (0</w:t>
      </w:r>
      <w:r w:rsidR="00E14372">
        <w:rPr>
          <w:rFonts w:ascii="Times New Roman" w:eastAsia="Times New Roman" w:hAnsi="Times New Roman"/>
          <w:color w:val="000000"/>
        </w:rPr>
        <w:t>6</w:t>
      </w:r>
      <w:r w:rsidRPr="00E6606A">
        <w:rPr>
          <w:rFonts w:ascii="Times New Roman" w:eastAsia="Times New Roman" w:hAnsi="Times New Roman"/>
          <w:color w:val="000000"/>
        </w:rPr>
        <w:t xml:space="preserve">) </w:t>
      </w:r>
      <w:r w:rsidRPr="00E6606A">
        <w:rPr>
          <w:rFonts w:ascii="Times New Roman" w:eastAsia="Times New Roman" w:hAnsi="Times New Roman"/>
          <w:color w:val="000000"/>
        </w:rPr>
        <w:tab/>
      </w:r>
      <w:r w:rsidRPr="00E6606A">
        <w:rPr>
          <w:rFonts w:ascii="Times New Roman" w:eastAsia="Times New Roman" w:hAnsi="Times New Roman"/>
          <w:b/>
          <w:color w:val="000000"/>
        </w:rPr>
        <w:t>Não</w:t>
      </w:r>
      <w:r w:rsidRPr="00E6606A">
        <w:rPr>
          <w:rFonts w:ascii="Times New Roman" w:eastAsia="Times New Roman" w:hAnsi="Times New Roman"/>
          <w:color w:val="000000"/>
        </w:rPr>
        <w:t xml:space="preserve"> (00)</w:t>
      </w:r>
      <w:r w:rsidRPr="00E6606A">
        <w:rPr>
          <w:rFonts w:ascii="Times New Roman" w:eastAsia="Times New Roman" w:hAnsi="Times New Roman"/>
          <w:color w:val="000000"/>
        </w:rPr>
        <w:tab/>
      </w:r>
      <w:r w:rsidRPr="00E6606A">
        <w:rPr>
          <w:rFonts w:ascii="Times New Roman" w:eastAsia="Times New Roman" w:hAnsi="Times New Roman"/>
          <w:b/>
          <w:color w:val="000000"/>
        </w:rPr>
        <w:t>Abstenções</w:t>
      </w:r>
      <w:r w:rsidRPr="00E6606A">
        <w:rPr>
          <w:rFonts w:ascii="Times New Roman" w:eastAsia="Times New Roman" w:hAnsi="Times New Roman"/>
          <w:color w:val="000000"/>
        </w:rPr>
        <w:t xml:space="preserve"> (00)  </w:t>
      </w:r>
      <w:r w:rsidRPr="00E6606A">
        <w:rPr>
          <w:rFonts w:ascii="Times New Roman" w:eastAsia="Times New Roman" w:hAnsi="Times New Roman"/>
          <w:color w:val="000000"/>
        </w:rPr>
        <w:tab/>
      </w:r>
      <w:r w:rsidRPr="00E6606A">
        <w:rPr>
          <w:rFonts w:ascii="Times New Roman" w:eastAsia="Times New Roman" w:hAnsi="Times New Roman"/>
          <w:b/>
          <w:color w:val="000000"/>
        </w:rPr>
        <w:t>Ausências</w:t>
      </w:r>
      <w:r w:rsidRPr="00E6606A">
        <w:rPr>
          <w:rFonts w:ascii="Times New Roman" w:eastAsia="Times New Roman" w:hAnsi="Times New Roman"/>
          <w:color w:val="000000"/>
        </w:rPr>
        <w:t xml:space="preserve"> (0</w:t>
      </w:r>
      <w:r w:rsidR="00E14372">
        <w:rPr>
          <w:rFonts w:ascii="Times New Roman" w:eastAsia="Times New Roman" w:hAnsi="Times New Roman"/>
          <w:color w:val="000000"/>
        </w:rPr>
        <w:t>3)</w:t>
      </w:r>
      <w:r w:rsidRPr="00E6606A">
        <w:rPr>
          <w:rFonts w:ascii="Times New Roman" w:eastAsia="Times New Roman" w:hAnsi="Times New Roman"/>
          <w:color w:val="000000"/>
        </w:rPr>
        <w:t xml:space="preserve"> </w:t>
      </w:r>
    </w:p>
    <w:p w14:paraId="1A06E762" w14:textId="77777777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</w:rPr>
      </w:pPr>
    </w:p>
    <w:p w14:paraId="15E761A3" w14:textId="77777777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</w:rPr>
      </w:pPr>
      <w:r w:rsidRPr="00E6606A">
        <w:rPr>
          <w:rFonts w:ascii="Times New Roman" w:eastAsia="Times New Roman" w:hAnsi="Times New Roman"/>
          <w:b/>
          <w:color w:val="000000"/>
        </w:rPr>
        <w:t>Ocorrências:</w:t>
      </w:r>
      <w:r w:rsidRPr="00E6606A">
        <w:rPr>
          <w:rFonts w:ascii="Times New Roman" w:eastAsia="Times New Roman" w:hAnsi="Times New Roman"/>
          <w:color w:val="000000"/>
        </w:rPr>
        <w:t xml:space="preserve"> </w:t>
      </w:r>
    </w:p>
    <w:p w14:paraId="6899652E" w14:textId="77777777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</w:rPr>
      </w:pPr>
    </w:p>
    <w:p w14:paraId="5FCB940A" w14:textId="4FA99C99" w:rsidR="00E6606A" w:rsidRPr="00E6606A" w:rsidRDefault="00E6606A" w:rsidP="00E6606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</w:rPr>
      </w:pPr>
      <w:r w:rsidRPr="00E6606A">
        <w:rPr>
          <w:rFonts w:ascii="Times New Roman" w:eastAsia="Times New Roman" w:hAnsi="Times New Roman"/>
          <w:b/>
          <w:color w:val="000000"/>
        </w:rPr>
        <w:t>Assessoria: Thatielle Badini C</w:t>
      </w:r>
      <w:r w:rsidR="00E14372">
        <w:rPr>
          <w:rFonts w:ascii="Times New Roman" w:eastAsia="Times New Roman" w:hAnsi="Times New Roman"/>
          <w:b/>
          <w:color w:val="000000"/>
        </w:rPr>
        <w:t>.</w:t>
      </w:r>
      <w:r w:rsidRPr="00E6606A">
        <w:rPr>
          <w:rFonts w:ascii="Times New Roman" w:eastAsia="Times New Roman" w:hAnsi="Times New Roman"/>
          <w:b/>
          <w:color w:val="000000"/>
        </w:rPr>
        <w:t xml:space="preserve"> dos Santos   Condutor dos trabalhos (Presidente): André Nor</w:t>
      </w:r>
    </w:p>
    <w:p w14:paraId="1FFB26EA" w14:textId="77777777" w:rsidR="00E6606A" w:rsidRPr="00E6606A" w:rsidRDefault="00E6606A" w:rsidP="00E6606A">
      <w:pPr>
        <w:jc w:val="both"/>
        <w:rPr>
          <w:rFonts w:ascii="Times New Roman" w:hAnsi="Times New Roman"/>
          <w:color w:val="000000"/>
        </w:rPr>
      </w:pPr>
    </w:p>
    <w:p w14:paraId="7C13DBF3" w14:textId="20E9ED58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430A62" w14:textId="77777777" w:rsidR="00E6606A" w:rsidRPr="00E6606A" w:rsidRDefault="00E66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6606A" w:rsidRPr="00E6606A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  <w:footnote w:id="1">
    <w:p w14:paraId="16AB57C4" w14:textId="77777777" w:rsidR="00287595" w:rsidRDefault="00287595" w:rsidP="0028759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7D9A">
        <w:rPr>
          <w:rFonts w:ascii="Arial" w:hAnsi="Arial" w:cs="Arial"/>
          <w:color w:val="000000"/>
          <w:sz w:val="12"/>
          <w:szCs w:val="12"/>
          <w:shd w:val="clear" w:color="auto" w:fill="FFFFFF"/>
        </w:rPr>
        <w:t>O curso deve atender as diretrizes curriculares fixadas pelo Conselho Nacional de Educação (CNE), conforme determina o parágrafo único do art. 1º da Lei 7.410, de 1985, observando-se as disciplinas básicas exigidas, a carga horaria e o tempo de integralização mínimos e os requisitos do corpo docente exigidos pela legislação educacional em vigor.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2853" w14:textId="77777777" w:rsidR="00E14372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E14372" w:rsidRPr="00E6606A" w14:paraId="1FEB0899" w14:textId="77777777" w:rsidTr="0019738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F8F1E9" w14:textId="77777777" w:rsidR="00E14372" w:rsidRPr="00E6606A" w:rsidRDefault="00E14372" w:rsidP="00E1437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t-BR"/>
            </w:rPr>
          </w:pPr>
          <w:r w:rsidRPr="00E6606A">
            <w:rPr>
              <w:rFonts w:ascii="Times New Roman" w:eastAsia="Times New Roman" w:hAnsi="Times New Roman"/>
              <w:sz w:val="24"/>
              <w:szCs w:val="24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96557ED" w14:textId="77777777" w:rsidR="00E14372" w:rsidRPr="00E6606A" w:rsidRDefault="00E14372" w:rsidP="00E14372">
          <w:pPr>
            <w:suppressAutoHyphens w:val="0"/>
            <w:autoSpaceDN/>
            <w:spacing w:after="0" w:line="240" w:lineRule="auto"/>
            <w:textAlignment w:val="auto"/>
            <w:rPr>
              <w:rFonts w:ascii="Times New Roman" w:eastAsia="Times New Roman" w:hAnsi="Times New Roman"/>
              <w:sz w:val="24"/>
              <w:szCs w:val="24"/>
              <w:lang w:eastAsia="pt-BR"/>
            </w:rPr>
          </w:pPr>
          <w:r w:rsidRPr="00E6606A">
            <w:rPr>
              <w:rFonts w:ascii="Times New Roman" w:eastAsia="Times New Roman" w:hAnsi="Times New Roman"/>
              <w:sz w:val="24"/>
              <w:szCs w:val="24"/>
              <w:lang w:eastAsia="pt-BR"/>
            </w:rPr>
            <w:t>1555739/2022</w:t>
          </w:r>
        </w:p>
      </w:tc>
    </w:tr>
    <w:tr w:rsidR="00E14372" w:rsidRPr="00E6606A" w14:paraId="275D12AB" w14:textId="77777777" w:rsidTr="0019738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6B5A5D5" w14:textId="77777777" w:rsidR="00E14372" w:rsidRPr="00E6606A" w:rsidRDefault="00E14372" w:rsidP="00E1437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t-BR"/>
            </w:rPr>
          </w:pPr>
          <w:r w:rsidRPr="00E6606A">
            <w:rPr>
              <w:rFonts w:ascii="Times New Roman" w:eastAsia="Times New Roman" w:hAnsi="Times New Roman"/>
              <w:sz w:val="24"/>
              <w:szCs w:val="24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1A7A476" w14:textId="77777777" w:rsidR="00E14372" w:rsidRPr="00E6606A" w:rsidRDefault="00E14372" w:rsidP="00E14372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="Times New Roman" w:eastAsia="Times New Roman" w:hAnsi="Times New Roman"/>
              <w:sz w:val="24"/>
              <w:szCs w:val="24"/>
              <w:lang w:eastAsia="pt-BR"/>
            </w:rPr>
          </w:pPr>
          <w:r w:rsidRPr="00E6606A">
            <w:rPr>
              <w:rFonts w:ascii="Times New Roman" w:eastAsia="Times New Roman" w:hAnsi="Times New Roman"/>
              <w:sz w:val="24"/>
              <w:szCs w:val="24"/>
              <w:lang w:eastAsia="pt-BR"/>
            </w:rPr>
            <w:t>DANIELA MUNIZ DE OLIVEIRA</w:t>
          </w:r>
        </w:p>
      </w:tc>
    </w:tr>
    <w:tr w:rsidR="00E14372" w:rsidRPr="00E6606A" w14:paraId="44A937F7" w14:textId="77777777" w:rsidTr="0019738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A1EEC2" w14:textId="77777777" w:rsidR="00E14372" w:rsidRPr="00E6606A" w:rsidRDefault="00E14372" w:rsidP="00E1437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t-BR"/>
            </w:rPr>
          </w:pPr>
          <w:r w:rsidRPr="00E6606A">
            <w:rPr>
              <w:rFonts w:ascii="Times New Roman" w:eastAsia="Times New Roman" w:hAnsi="Times New Roman"/>
              <w:sz w:val="24"/>
              <w:szCs w:val="24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7514AA4" w14:textId="77777777" w:rsidR="00E14372" w:rsidRPr="00E6606A" w:rsidRDefault="00E14372" w:rsidP="00E14372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pt-BR"/>
            </w:rPr>
          </w:pPr>
          <w:r w:rsidRPr="00E6606A">
            <w:rPr>
              <w:rFonts w:ascii="Times New Roman" w:eastAsia="Times New Roman" w:hAnsi="Times New Roman"/>
              <w:sz w:val="24"/>
              <w:szCs w:val="24"/>
              <w:lang w:eastAsia="pt-BR"/>
            </w:rPr>
            <w:t>SOLICITAÇÃO DE ANÁLISE DE REGISTRO PROFISSIONAL DIPLOMADOS NO PAÍS</w:t>
          </w:r>
        </w:p>
      </w:tc>
    </w:tr>
  </w:tbl>
  <w:p w14:paraId="2AD4D606" w14:textId="77777777" w:rsidR="00E14372" w:rsidRDefault="00E14372" w:rsidP="00E14372">
    <w:pPr>
      <w:spacing w:after="0" w:line="240" w:lineRule="auto"/>
      <w:ind w:left="5103"/>
      <w:jc w:val="both"/>
      <w:rPr>
        <w:rFonts w:ascii="Times New Roman" w:eastAsia="Times New Roman" w:hAnsi="Times New Roman"/>
        <w:sz w:val="24"/>
        <w:szCs w:val="24"/>
        <w:lang w:eastAsia="pt-BR"/>
      </w:rPr>
    </w:pPr>
  </w:p>
  <w:p w14:paraId="490063F2" w14:textId="7B1AC959" w:rsidR="00C56967" w:rsidRPr="00E14372" w:rsidRDefault="00E14372" w:rsidP="00E14372">
    <w:pPr>
      <w:pBdr>
        <w:top w:val="single" w:sz="8" w:space="2" w:color="7F7F7F"/>
        <w:bottom w:val="single" w:sz="8" w:space="0" w:color="7F7F7F"/>
      </w:pBdr>
      <w:shd w:val="clear" w:color="auto" w:fill="F2F2F2"/>
      <w:spacing w:before="120" w:after="120"/>
      <w:jc w:val="center"/>
      <w:rPr>
        <w:rFonts w:ascii="Times New Roman" w:hAnsi="Times New Roman"/>
        <w:color w:val="000000" w:themeColor="text1"/>
      </w:rPr>
    </w:pPr>
    <w:r w:rsidRPr="00C64226">
      <w:rPr>
        <w:rFonts w:ascii="Times New Roman" w:hAnsi="Times New Roman"/>
        <w:b/>
        <w:color w:val="000000"/>
      </w:rPr>
      <w:t xml:space="preserve">DELIBERAÇÃO PLENÁRIA </w:t>
    </w:r>
    <w:r w:rsidRPr="00E14372">
      <w:rPr>
        <w:rFonts w:ascii="Times New Roman" w:hAnsi="Times New Roman"/>
        <w:b/>
        <w:color w:val="000000" w:themeColor="text1"/>
      </w:rPr>
      <w:t>DPOMT Nº 812/2023</w:t>
    </w:r>
    <w:r w:rsidR="00C569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17"/>
  </w:num>
  <w:num w:numId="2" w16cid:durableId="1670988399">
    <w:abstractNumId w:val="11"/>
  </w:num>
  <w:num w:numId="3" w16cid:durableId="1648125412">
    <w:abstractNumId w:val="23"/>
  </w:num>
  <w:num w:numId="4" w16cid:durableId="1301963919">
    <w:abstractNumId w:val="20"/>
  </w:num>
  <w:num w:numId="5" w16cid:durableId="799693109">
    <w:abstractNumId w:val="18"/>
  </w:num>
  <w:num w:numId="6" w16cid:durableId="193662149">
    <w:abstractNumId w:val="15"/>
  </w:num>
  <w:num w:numId="7" w16cid:durableId="1023363775">
    <w:abstractNumId w:val="14"/>
  </w:num>
  <w:num w:numId="8" w16cid:durableId="778794783">
    <w:abstractNumId w:val="24"/>
  </w:num>
  <w:num w:numId="9" w16cid:durableId="1969166283">
    <w:abstractNumId w:val="6"/>
  </w:num>
  <w:num w:numId="10" w16cid:durableId="882984024">
    <w:abstractNumId w:val="2"/>
  </w:num>
  <w:num w:numId="11" w16cid:durableId="1742024031">
    <w:abstractNumId w:val="13"/>
  </w:num>
  <w:num w:numId="12" w16cid:durableId="914049520">
    <w:abstractNumId w:val="9"/>
  </w:num>
  <w:num w:numId="13" w16cid:durableId="348483958">
    <w:abstractNumId w:val="4"/>
  </w:num>
  <w:num w:numId="14" w16cid:durableId="422337609">
    <w:abstractNumId w:val="19"/>
  </w:num>
  <w:num w:numId="15" w16cid:durableId="1865904214">
    <w:abstractNumId w:val="5"/>
  </w:num>
  <w:num w:numId="16" w16cid:durableId="267202579">
    <w:abstractNumId w:val="8"/>
  </w:num>
  <w:num w:numId="17" w16cid:durableId="1062559302">
    <w:abstractNumId w:val="25"/>
  </w:num>
  <w:num w:numId="18" w16cid:durableId="902833122">
    <w:abstractNumId w:val="0"/>
  </w:num>
  <w:num w:numId="19" w16cid:durableId="1416710100">
    <w:abstractNumId w:val="16"/>
  </w:num>
  <w:num w:numId="20" w16cid:durableId="1873417906">
    <w:abstractNumId w:val="22"/>
  </w:num>
  <w:num w:numId="21" w16cid:durableId="1634553992">
    <w:abstractNumId w:val="12"/>
  </w:num>
  <w:num w:numId="22" w16cid:durableId="1523325856">
    <w:abstractNumId w:val="7"/>
  </w:num>
  <w:num w:numId="23" w16cid:durableId="2016031855">
    <w:abstractNumId w:val="10"/>
  </w:num>
  <w:num w:numId="24" w16cid:durableId="670108368">
    <w:abstractNumId w:val="3"/>
  </w:num>
  <w:num w:numId="25" w16cid:durableId="155345354">
    <w:abstractNumId w:val="21"/>
  </w:num>
  <w:num w:numId="26" w16cid:durableId="51769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488A"/>
    <w:rsid w:val="00091A23"/>
    <w:rsid w:val="000A3419"/>
    <w:rsid w:val="001F7FB6"/>
    <w:rsid w:val="002135C4"/>
    <w:rsid w:val="00220311"/>
    <w:rsid w:val="00257A8C"/>
    <w:rsid w:val="00287595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D4241"/>
    <w:rsid w:val="005E0999"/>
    <w:rsid w:val="005E2BDF"/>
    <w:rsid w:val="00606440"/>
    <w:rsid w:val="00630EFE"/>
    <w:rsid w:val="00661C84"/>
    <w:rsid w:val="00663B1F"/>
    <w:rsid w:val="00685690"/>
    <w:rsid w:val="006A2B09"/>
    <w:rsid w:val="007738A3"/>
    <w:rsid w:val="007F050A"/>
    <w:rsid w:val="00842178"/>
    <w:rsid w:val="008A100A"/>
    <w:rsid w:val="00934FE0"/>
    <w:rsid w:val="00976BD7"/>
    <w:rsid w:val="009B5AE9"/>
    <w:rsid w:val="009C508E"/>
    <w:rsid w:val="00AB6642"/>
    <w:rsid w:val="00AD1B88"/>
    <w:rsid w:val="00B23739"/>
    <w:rsid w:val="00B5325C"/>
    <w:rsid w:val="00B715D4"/>
    <w:rsid w:val="00B77FF4"/>
    <w:rsid w:val="00BB799C"/>
    <w:rsid w:val="00BD0C7F"/>
    <w:rsid w:val="00BD6CC5"/>
    <w:rsid w:val="00C303A4"/>
    <w:rsid w:val="00C51C1E"/>
    <w:rsid w:val="00C56967"/>
    <w:rsid w:val="00CD3A91"/>
    <w:rsid w:val="00CE2978"/>
    <w:rsid w:val="00D8098C"/>
    <w:rsid w:val="00D9603D"/>
    <w:rsid w:val="00DB55B2"/>
    <w:rsid w:val="00DD1F64"/>
    <w:rsid w:val="00DF3551"/>
    <w:rsid w:val="00E14372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64991"/>
    <w:rsid w:val="00FA22FE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1768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7</cp:revision>
  <cp:lastPrinted>2022-12-15T18:28:00Z</cp:lastPrinted>
  <dcterms:created xsi:type="dcterms:W3CDTF">2022-12-15T19:03:00Z</dcterms:created>
  <dcterms:modified xsi:type="dcterms:W3CDTF">2023-02-06T21:50:00Z</dcterms:modified>
</cp:coreProperties>
</file>