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DC4AA1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C4AA1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5211C089" w:rsidR="00253FBE" w:rsidRPr="00DC4AA1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02EC">
              <w:rPr>
                <w:rFonts w:ascii="Times New Roman" w:hAnsi="Times New Roman"/>
                <w:b/>
                <w:sz w:val="22"/>
                <w:szCs w:val="22"/>
              </w:rPr>
              <w:t>0135-01/2023</w:t>
            </w:r>
          </w:p>
        </w:tc>
      </w:tr>
    </w:tbl>
    <w:p w14:paraId="25260DA8" w14:textId="77777777" w:rsidR="00AA22BE" w:rsidRDefault="00AA22BE" w:rsidP="00253FBE">
      <w:pPr>
        <w:ind w:left="4536" w:right="275"/>
        <w:jc w:val="both"/>
        <w:rPr>
          <w:rFonts w:ascii="Times New Roman" w:hAnsi="Times New Roman"/>
          <w:sz w:val="20"/>
        </w:rPr>
      </w:pPr>
    </w:p>
    <w:p w14:paraId="3FE6A605" w14:textId="3F66E2E0" w:rsidR="00253FBE" w:rsidRDefault="00253FBE" w:rsidP="00253FBE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fundamentado d</w:t>
      </w:r>
      <w:r w:rsidR="00DD5E12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Conselheir</w:t>
      </w:r>
      <w:r w:rsidR="007B053D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Relator</w:t>
      </w:r>
      <w:r w:rsidR="007B053D">
        <w:rPr>
          <w:rFonts w:ascii="Times New Roman" w:hAnsi="Times New Roman"/>
          <w:sz w:val="20"/>
        </w:rPr>
        <w:t>a</w:t>
      </w:r>
      <w:r w:rsidR="00373D6F" w:rsidRPr="00373D6F">
        <w:rPr>
          <w:rFonts w:ascii="Times New Roman" w:hAnsi="Times New Roman"/>
          <w:sz w:val="20"/>
        </w:rPr>
        <w:t xml:space="preserve"> </w:t>
      </w:r>
      <w:r w:rsidR="00B602EC">
        <w:rPr>
          <w:rFonts w:ascii="Times New Roman" w:hAnsi="Times New Roman"/>
          <w:sz w:val="20"/>
        </w:rPr>
        <w:t>Vanessa Bressan Koehler.</w:t>
      </w:r>
    </w:p>
    <w:p w14:paraId="432521AF" w14:textId="77777777" w:rsidR="00AA22BE" w:rsidRDefault="00AA22BE" w:rsidP="00FF2C7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8A1D01" w14:textId="1F90EFEB" w:rsidR="007B053D" w:rsidRPr="00C66F30" w:rsidRDefault="007B053D" w:rsidP="007B053D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</w:t>
      </w:r>
      <w:r w:rsidR="00B602EC" w:rsidRPr="00C66F30">
        <w:rPr>
          <w:rFonts w:ascii="Times New Roman" w:hAnsi="Times New Roman"/>
          <w:sz w:val="22"/>
          <w:szCs w:val="22"/>
        </w:rPr>
        <w:t>i</w:t>
      </w:r>
      <w:r w:rsidRPr="00C66F30">
        <w:rPr>
          <w:rFonts w:ascii="Times New Roman" w:hAnsi="Times New Roman"/>
          <w:sz w:val="22"/>
          <w:szCs w:val="22"/>
        </w:rPr>
        <w:t xml:space="preserve">nciso LXIV, do Regimento Interno do CAU/MT, reunido ordinariamente por meio do aplicativo Microsoft Teams, no dia </w:t>
      </w:r>
      <w:r w:rsidR="00B602EC" w:rsidRPr="00C66F30">
        <w:rPr>
          <w:rFonts w:ascii="Times New Roman" w:hAnsi="Times New Roman"/>
          <w:sz w:val="22"/>
          <w:szCs w:val="22"/>
        </w:rPr>
        <w:t>27 de maio de 2023.</w:t>
      </w:r>
    </w:p>
    <w:p w14:paraId="07876E75" w14:textId="77777777" w:rsidR="00253FBE" w:rsidRPr="00C66F30" w:rsidRDefault="00253FBE" w:rsidP="00253FB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14:paraId="71A52FBB" w14:textId="1EF4006E" w:rsidR="00253FBE" w:rsidRPr="00C66F30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Considerando as provas existentes no processo nº</w:t>
      </w:r>
      <w:r w:rsidR="00B602EC" w:rsidRPr="00C66F30">
        <w:rPr>
          <w:rFonts w:ascii="Times New Roman" w:hAnsi="Times New Roman"/>
          <w:sz w:val="22"/>
          <w:szCs w:val="22"/>
        </w:rPr>
        <w:t>.</w:t>
      </w:r>
      <w:r w:rsidRPr="00C66F30">
        <w:rPr>
          <w:rFonts w:ascii="Times New Roman" w:hAnsi="Times New Roman"/>
          <w:sz w:val="22"/>
          <w:szCs w:val="22"/>
        </w:rPr>
        <w:t xml:space="preserve"> </w:t>
      </w:r>
      <w:r w:rsidR="00B602EC" w:rsidRPr="00C66F30">
        <w:rPr>
          <w:rFonts w:ascii="Times New Roman" w:hAnsi="Times New Roman"/>
          <w:sz w:val="22"/>
          <w:szCs w:val="22"/>
        </w:rPr>
        <w:t>792272/2018</w:t>
      </w:r>
      <w:r w:rsidRPr="00C66F30">
        <w:rPr>
          <w:rFonts w:ascii="Times New Roman" w:hAnsi="Times New Roman"/>
          <w:sz w:val="22"/>
          <w:szCs w:val="22"/>
        </w:rPr>
        <w:t>;</w:t>
      </w:r>
    </w:p>
    <w:p w14:paraId="692516BA" w14:textId="77777777" w:rsidR="00253FBE" w:rsidRPr="00C66F30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2580BEC" w14:textId="43C9CE9B" w:rsidR="00B602EC" w:rsidRPr="00C66F30" w:rsidRDefault="005C37AD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Considerando o relatório e voto fundamentado original d</w:t>
      </w:r>
      <w:r w:rsidR="007B053D" w:rsidRPr="00C66F30">
        <w:rPr>
          <w:rFonts w:ascii="Times New Roman" w:hAnsi="Times New Roman"/>
          <w:sz w:val="22"/>
          <w:szCs w:val="22"/>
        </w:rPr>
        <w:t>a</w:t>
      </w:r>
      <w:r w:rsidRPr="00C66F30">
        <w:rPr>
          <w:rFonts w:ascii="Times New Roman" w:hAnsi="Times New Roman"/>
          <w:sz w:val="22"/>
          <w:szCs w:val="22"/>
        </w:rPr>
        <w:t xml:space="preserve"> Conselheir</w:t>
      </w:r>
      <w:r w:rsidR="007B053D" w:rsidRPr="00C66F30">
        <w:rPr>
          <w:rFonts w:ascii="Times New Roman" w:hAnsi="Times New Roman"/>
          <w:sz w:val="22"/>
          <w:szCs w:val="22"/>
        </w:rPr>
        <w:t>a</w:t>
      </w:r>
      <w:r w:rsidRPr="00C66F30">
        <w:rPr>
          <w:rFonts w:ascii="Times New Roman" w:hAnsi="Times New Roman"/>
          <w:sz w:val="22"/>
          <w:szCs w:val="22"/>
        </w:rPr>
        <w:t xml:space="preserve"> Relator</w:t>
      </w:r>
      <w:r w:rsidR="007B053D" w:rsidRPr="00C66F30">
        <w:rPr>
          <w:rFonts w:ascii="Times New Roman" w:hAnsi="Times New Roman"/>
          <w:sz w:val="22"/>
          <w:szCs w:val="22"/>
        </w:rPr>
        <w:t>a</w:t>
      </w:r>
      <w:r w:rsidR="00B602EC" w:rsidRPr="00C66F30">
        <w:rPr>
          <w:rFonts w:ascii="Times New Roman" w:hAnsi="Times New Roman"/>
          <w:sz w:val="22"/>
          <w:szCs w:val="22"/>
        </w:rPr>
        <w:t xml:space="preserve"> Vanessa Bressan Koehler,</w:t>
      </w:r>
      <w:r w:rsidRPr="00C66F30">
        <w:rPr>
          <w:rFonts w:ascii="Times New Roman" w:hAnsi="Times New Roman"/>
          <w:sz w:val="22"/>
          <w:szCs w:val="22"/>
        </w:rPr>
        <w:t xml:space="preserve"> </w:t>
      </w:r>
      <w:r w:rsidR="00B602EC" w:rsidRPr="00C66F30">
        <w:rPr>
          <w:rFonts w:ascii="Times New Roman" w:hAnsi="Times New Roman"/>
          <w:sz w:val="22"/>
          <w:szCs w:val="22"/>
        </w:rPr>
        <w:t>pela aplicação da sanção de suspensão pelo período de 30 (trinta) dias, bem como multa correspondente ao valor de 01 (uma) anuidade, uma vez que se constatou infração ético disciplinar.</w:t>
      </w:r>
    </w:p>
    <w:p w14:paraId="23F8CA25" w14:textId="77777777" w:rsidR="00B602EC" w:rsidRPr="00C66F30" w:rsidRDefault="00B602EC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</w:p>
    <w:p w14:paraId="465B82F4" w14:textId="7851B56E" w:rsidR="00253FBE" w:rsidRPr="00C66F30" w:rsidRDefault="00253FBE" w:rsidP="00253FBE">
      <w:pPr>
        <w:ind w:right="27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a Comissão de Ética e Disciplina do CAU/MT, na Deliberação nº</w:t>
      </w:r>
      <w:r w:rsidR="00B602EC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  <w:r w:rsidR="00FF2C72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B602EC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258/2023</w:t>
      </w: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aprovou, de forma unânime, o relatório e voto fundamentado </w:t>
      </w:r>
      <w:r w:rsidR="00DD5E12" w:rsidRPr="00C66F30">
        <w:rPr>
          <w:rFonts w:ascii="Times New Roman" w:hAnsi="Times New Roman"/>
          <w:sz w:val="22"/>
          <w:szCs w:val="22"/>
        </w:rPr>
        <w:t xml:space="preserve">da Conselheira </w:t>
      </w:r>
      <w:r w:rsidR="00B602EC" w:rsidRPr="00C66F30">
        <w:rPr>
          <w:rFonts w:ascii="Times New Roman" w:hAnsi="Times New Roman"/>
          <w:sz w:val="22"/>
          <w:szCs w:val="22"/>
        </w:rPr>
        <w:t>Relatora Vanessa Bressan Koehler</w:t>
      </w:r>
      <w:r w:rsidR="00DD5E12" w:rsidRPr="00C66F30">
        <w:rPr>
          <w:rFonts w:ascii="Times New Roman" w:hAnsi="Times New Roman"/>
          <w:sz w:val="22"/>
          <w:szCs w:val="22"/>
        </w:rPr>
        <w:t>.</w:t>
      </w:r>
    </w:p>
    <w:p w14:paraId="3FBB94AC" w14:textId="77777777" w:rsidR="00253FBE" w:rsidRPr="00C66F30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1A434FA5" w14:textId="77777777" w:rsidR="00253FBE" w:rsidRPr="00C66F30" w:rsidRDefault="00253FBE" w:rsidP="00B602EC">
      <w:pPr>
        <w:ind w:right="276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o art. 52, </w:t>
      </w:r>
      <w:r w:rsidRPr="00C66F30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caput</w:t>
      </w: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da Resolução CAU/BR nº 143, de 23 de junho de 2017, o qual</w:t>
      </w:r>
      <w:r w:rsidR="00373D6F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determina que:</w:t>
      </w:r>
    </w:p>
    <w:p w14:paraId="23533985" w14:textId="77777777" w:rsidR="00253FBE" w:rsidRPr="00C66F30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AD26F38" w14:textId="77777777" w:rsidR="00DD5E12" w:rsidRPr="00C66F30" w:rsidRDefault="00B0185E" w:rsidP="00253FBE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C66F30">
        <w:rPr>
          <w:rFonts w:ascii="Times New Roman" w:hAnsi="Times New Roman"/>
          <w:sz w:val="20"/>
          <w:szCs w:val="20"/>
        </w:rPr>
        <w:t>“</w:t>
      </w:r>
      <w:r w:rsidR="00253FBE" w:rsidRPr="00C66F30">
        <w:rPr>
          <w:rFonts w:ascii="Times New Roman" w:hAnsi="Times New Roman"/>
          <w:sz w:val="20"/>
          <w:szCs w:val="20"/>
        </w:rPr>
        <w:t xml:space="preserve">Art. 52. Durante a sessão de julgamento do processo ético-disciplinar, o Plenário do CAU/UF poderá aprovar ou rejeitar minuta de deliberação plenária que será </w:t>
      </w:r>
      <w:r w:rsidR="00253FBE" w:rsidRPr="00C66F30">
        <w:rPr>
          <w:rFonts w:ascii="Times New Roman" w:hAnsi="Times New Roman"/>
          <w:b/>
          <w:bCs/>
          <w:sz w:val="20"/>
          <w:szCs w:val="20"/>
        </w:rPr>
        <w:t>precedida pela leitura do relatório e voto fundamentado aprovado pela CED/UF</w:t>
      </w:r>
      <w:r w:rsidR="00253FBE" w:rsidRPr="00C66F30">
        <w:rPr>
          <w:rFonts w:ascii="Times New Roman" w:hAnsi="Times New Roman"/>
          <w:sz w:val="20"/>
          <w:szCs w:val="20"/>
        </w:rPr>
        <w:t>.</w:t>
      </w:r>
    </w:p>
    <w:p w14:paraId="06019143" w14:textId="77777777" w:rsidR="00DD5E12" w:rsidRPr="00C66F30" w:rsidRDefault="00DD5E12" w:rsidP="00253FBE">
      <w:pPr>
        <w:ind w:left="2268" w:right="275"/>
        <w:jc w:val="both"/>
        <w:rPr>
          <w:rFonts w:ascii="Times New Roman" w:hAnsi="Times New Roman"/>
          <w:sz w:val="20"/>
          <w:szCs w:val="20"/>
        </w:rPr>
      </w:pPr>
    </w:p>
    <w:p w14:paraId="052E699F" w14:textId="77777777" w:rsidR="00253FBE" w:rsidRPr="00C66F30" w:rsidRDefault="00DD5E12" w:rsidP="00DD5E12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C66F30">
        <w:rPr>
          <w:rFonts w:ascii="Times New Roman" w:hAnsi="Times New Roman"/>
          <w:i/>
          <w:sz w:val="20"/>
          <w:szCs w:val="20"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  <w:r w:rsidR="00B0185E" w:rsidRPr="00C66F30">
        <w:rPr>
          <w:rFonts w:ascii="Times New Roman" w:hAnsi="Times New Roman"/>
          <w:sz w:val="20"/>
          <w:szCs w:val="20"/>
        </w:rPr>
        <w:t>”</w:t>
      </w:r>
    </w:p>
    <w:p w14:paraId="6096A7AA" w14:textId="77777777" w:rsidR="005C37AD" w:rsidRDefault="005C37AD" w:rsidP="005C37AD">
      <w:pPr>
        <w:ind w:left="2268" w:right="842"/>
        <w:jc w:val="both"/>
        <w:rPr>
          <w:rFonts w:ascii="Times New Roman" w:hAnsi="Times New Roman"/>
          <w:sz w:val="20"/>
        </w:rPr>
      </w:pPr>
    </w:p>
    <w:p w14:paraId="0EAB19B9" w14:textId="77777777" w:rsidR="00AA22BE" w:rsidRDefault="00AA22BE" w:rsidP="005C37AD">
      <w:pPr>
        <w:ind w:right="842"/>
        <w:jc w:val="both"/>
        <w:rPr>
          <w:rFonts w:ascii="Times New Roman" w:hAnsi="Times New Roman"/>
          <w:b/>
          <w:sz w:val="22"/>
        </w:rPr>
      </w:pPr>
    </w:p>
    <w:p w14:paraId="55069670" w14:textId="77777777" w:rsidR="005C37AD" w:rsidRPr="00C66F30" w:rsidRDefault="005C37AD" w:rsidP="005C37AD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C66F30">
        <w:rPr>
          <w:rFonts w:ascii="Times New Roman" w:hAnsi="Times New Roman"/>
          <w:b/>
          <w:sz w:val="22"/>
          <w:szCs w:val="22"/>
        </w:rPr>
        <w:t>DELIBEROU:</w:t>
      </w:r>
    </w:p>
    <w:p w14:paraId="78C6246B" w14:textId="77777777" w:rsidR="005C37AD" w:rsidRPr="00C66F30" w:rsidRDefault="005C37AD" w:rsidP="005C37AD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67BB0A78" w14:textId="0D8D78EF" w:rsidR="00B602EC" w:rsidRPr="00C66F30" w:rsidRDefault="005C37AD" w:rsidP="00B602EC">
      <w:pPr>
        <w:numPr>
          <w:ilvl w:val="0"/>
          <w:numId w:val="15"/>
        </w:numPr>
        <w:ind w:right="275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 xml:space="preserve">Por aprovar o relatório e o voto fundamentado original </w:t>
      </w:r>
      <w:r w:rsidR="00DD5E12" w:rsidRPr="00C66F30">
        <w:rPr>
          <w:rFonts w:ascii="Times New Roman" w:hAnsi="Times New Roman"/>
          <w:sz w:val="22"/>
          <w:szCs w:val="22"/>
        </w:rPr>
        <w:t xml:space="preserve">da Conselheira Relatora </w:t>
      </w:r>
      <w:r w:rsidR="00B602EC" w:rsidRPr="00C66F30">
        <w:rPr>
          <w:rFonts w:ascii="Times New Roman" w:hAnsi="Times New Roman"/>
          <w:sz w:val="22"/>
          <w:szCs w:val="22"/>
        </w:rPr>
        <w:t>Vanessa Bressan Koehler</w:t>
      </w:r>
      <w:r w:rsidR="00DD5E12" w:rsidRPr="00C66F30">
        <w:rPr>
          <w:rFonts w:ascii="Times New Roman" w:hAnsi="Times New Roman"/>
          <w:sz w:val="22"/>
          <w:szCs w:val="22"/>
        </w:rPr>
        <w:t>,</w:t>
      </w:r>
      <w:r w:rsidRPr="00C66F30">
        <w:rPr>
          <w:rFonts w:ascii="Times New Roman" w:hAnsi="Times New Roman"/>
          <w:sz w:val="22"/>
          <w:szCs w:val="22"/>
        </w:rPr>
        <w:t xml:space="preserve"> </w:t>
      </w:r>
      <w:r w:rsidR="00B602EC" w:rsidRPr="00C66F30">
        <w:rPr>
          <w:rFonts w:ascii="Times New Roman" w:hAnsi="Times New Roman"/>
          <w:sz w:val="22"/>
          <w:szCs w:val="22"/>
        </w:rPr>
        <w:t>pela aplicação da sanção de suspensão pelo período de 30 (trinta) dias, bem como multa correspondente ao valor de 01 (uma) anuidade, uma vez que se constatou infração ético disciplinar.</w:t>
      </w:r>
    </w:p>
    <w:p w14:paraId="6B52EF81" w14:textId="77777777" w:rsidR="00B602EC" w:rsidRPr="00C66F30" w:rsidRDefault="00B602EC" w:rsidP="00B15500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4ACB6D86" w14:textId="05B28CD4" w:rsidR="00E63F4D" w:rsidRPr="00C66F30" w:rsidRDefault="00DD5E12" w:rsidP="002F7ED9">
      <w:pPr>
        <w:pStyle w:val="PargrafodaLista"/>
        <w:numPr>
          <w:ilvl w:val="0"/>
          <w:numId w:val="15"/>
        </w:numPr>
        <w:spacing w:before="2" w:after="2"/>
        <w:ind w:right="133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 xml:space="preserve">Encerrada a presente reunião de julgamento, as partes serão intimadas por </w:t>
      </w:r>
      <w:r w:rsidR="00B602EC" w:rsidRPr="00C66F30">
        <w:rPr>
          <w:rFonts w:ascii="Times New Roman" w:hAnsi="Times New Roman"/>
          <w:sz w:val="22"/>
          <w:szCs w:val="22"/>
        </w:rPr>
        <w:t>C</w:t>
      </w:r>
      <w:r w:rsidRPr="00C66F30">
        <w:rPr>
          <w:rFonts w:ascii="Times New Roman" w:hAnsi="Times New Roman"/>
          <w:sz w:val="22"/>
          <w:szCs w:val="22"/>
        </w:rPr>
        <w:t>orreio</w:t>
      </w:r>
      <w:r w:rsidR="00B602EC" w:rsidRPr="00C66F30">
        <w:rPr>
          <w:rFonts w:ascii="Times New Roman" w:hAnsi="Times New Roman"/>
          <w:sz w:val="22"/>
          <w:szCs w:val="22"/>
        </w:rPr>
        <w:t>s</w:t>
      </w:r>
      <w:r w:rsidRPr="00C66F30">
        <w:rPr>
          <w:rFonts w:ascii="Times New Roman" w:hAnsi="Times New Roman"/>
          <w:sz w:val="22"/>
          <w:szCs w:val="22"/>
        </w:rPr>
        <w:t xml:space="preserve"> do teor da decisão </w:t>
      </w:r>
      <w:r w:rsidR="00B15500" w:rsidRPr="00C66F30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n.º 143/2017.</w:t>
      </w:r>
    </w:p>
    <w:p w14:paraId="2B4D672C" w14:textId="77777777" w:rsidR="00B15500" w:rsidRPr="00C66F30" w:rsidRDefault="00B15500" w:rsidP="00B15500">
      <w:pPr>
        <w:pStyle w:val="PargrafodaLista"/>
        <w:rPr>
          <w:rFonts w:ascii="Times New Roman" w:hAnsi="Times New Roman"/>
          <w:sz w:val="22"/>
          <w:szCs w:val="22"/>
        </w:rPr>
      </w:pPr>
    </w:p>
    <w:p w14:paraId="79359C32" w14:textId="77777777" w:rsidR="00E63F4D" w:rsidRPr="00C66F30" w:rsidRDefault="00E63F4D" w:rsidP="00E63F4D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18B6274C" w14:textId="77777777" w:rsidR="00E63F4D" w:rsidRPr="00C66F30" w:rsidRDefault="00E63F4D" w:rsidP="00E63F4D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  <w:szCs w:val="22"/>
        </w:rPr>
      </w:pPr>
    </w:p>
    <w:p w14:paraId="1F0E4F46" w14:textId="77777777" w:rsidR="00DD5E12" w:rsidRPr="00C66F30" w:rsidRDefault="00DD5E12" w:rsidP="00DD5E12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030400E8" w14:textId="77777777" w:rsidR="00DD5E12" w:rsidRPr="00C66F30" w:rsidRDefault="00DD5E12" w:rsidP="00DD5E12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14:paraId="4BA37AE7" w14:textId="77777777" w:rsidR="005C37AD" w:rsidRPr="00C66F30" w:rsidRDefault="005C37AD" w:rsidP="005C37AD">
      <w:pPr>
        <w:pStyle w:val="PargrafodaLista"/>
        <w:rPr>
          <w:rFonts w:ascii="Times New Roman" w:hAnsi="Times New Roman"/>
          <w:sz w:val="22"/>
          <w:szCs w:val="22"/>
        </w:rPr>
      </w:pPr>
    </w:p>
    <w:p w14:paraId="59AED9B8" w14:textId="77777777" w:rsidR="00AA22BE" w:rsidRPr="00C66F30" w:rsidRDefault="00AA22BE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23E3449B" w14:textId="44721CB9" w:rsidR="003F6E32" w:rsidRPr="00C66F30" w:rsidRDefault="003F6E32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color w:val="000000"/>
          <w:sz w:val="22"/>
          <w:szCs w:val="22"/>
        </w:rPr>
        <w:t>Com</w:t>
      </w:r>
      <w:r w:rsidR="008C1DFA">
        <w:rPr>
          <w:rFonts w:ascii="Times New Roman" w:hAnsi="Times New Roman"/>
          <w:color w:val="000000"/>
          <w:sz w:val="22"/>
          <w:szCs w:val="22"/>
        </w:rPr>
        <w:t xml:space="preserve"> 0</w:t>
      </w:r>
      <w:r w:rsidR="00484F54">
        <w:rPr>
          <w:rFonts w:ascii="Times New Roman" w:hAnsi="Times New Roman"/>
          <w:color w:val="000000"/>
          <w:sz w:val="22"/>
          <w:szCs w:val="22"/>
        </w:rPr>
        <w:t>6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dos 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C</w:t>
      </w:r>
      <w:r w:rsidRPr="00C66F30">
        <w:rPr>
          <w:rFonts w:ascii="Times New Roman" w:hAnsi="Times New Roman"/>
          <w:color w:val="000000"/>
          <w:sz w:val="22"/>
          <w:szCs w:val="22"/>
        </w:rPr>
        <w:t>onselheiros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 Alexsandro Reis, Enodes Soares Ferreira, </w:t>
      </w:r>
      <w:r w:rsidR="008C1DFA">
        <w:rPr>
          <w:rFonts w:ascii="Times New Roman" w:hAnsi="Times New Roman"/>
          <w:color w:val="000000"/>
          <w:sz w:val="22"/>
          <w:szCs w:val="22"/>
        </w:rPr>
        <w:t>Almir Sebastião Ribeiro de Souza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, Thiago Rafael Pandini, Vanessa Bressan Koehler</w:t>
      </w:r>
      <w:r w:rsidR="008C1DFA">
        <w:rPr>
          <w:rFonts w:ascii="Times New Roman" w:hAnsi="Times New Roman"/>
          <w:color w:val="000000"/>
          <w:sz w:val="22"/>
          <w:szCs w:val="22"/>
        </w:rPr>
        <w:t xml:space="preserve"> e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 Weverthon Foles Veras; </w:t>
      </w:r>
      <w:r w:rsidR="008C1DFA">
        <w:rPr>
          <w:rFonts w:ascii="Times New Roman" w:hAnsi="Times New Roman"/>
          <w:color w:val="000000"/>
          <w:sz w:val="22"/>
          <w:szCs w:val="22"/>
        </w:rPr>
        <w:t>00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8C1DFA">
        <w:rPr>
          <w:rFonts w:ascii="Times New Roman" w:hAnsi="Times New Roman"/>
          <w:color w:val="000000"/>
          <w:sz w:val="22"/>
          <w:szCs w:val="22"/>
        </w:rPr>
        <w:t>0</w:t>
      </w:r>
      <w:r w:rsidR="00484F54">
        <w:rPr>
          <w:rFonts w:ascii="Times New Roman" w:hAnsi="Times New Roman"/>
          <w:color w:val="000000"/>
          <w:sz w:val="22"/>
          <w:szCs w:val="22"/>
        </w:rPr>
        <w:t>1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abstenç</w:t>
      </w:r>
      <w:r w:rsidR="00A17AF2">
        <w:rPr>
          <w:rFonts w:ascii="Times New Roman" w:hAnsi="Times New Roman"/>
          <w:b/>
          <w:color w:val="000000"/>
          <w:sz w:val="22"/>
          <w:szCs w:val="22"/>
        </w:rPr>
        <w:t xml:space="preserve">ão </w:t>
      </w:r>
      <w:r w:rsidR="00A17AF2">
        <w:rPr>
          <w:rFonts w:ascii="Times New Roman" w:hAnsi="Times New Roman"/>
          <w:bCs/>
          <w:color w:val="000000"/>
          <w:sz w:val="22"/>
          <w:szCs w:val="22"/>
        </w:rPr>
        <w:t xml:space="preserve">do Conselheiro </w:t>
      </w:r>
      <w:r w:rsidR="00A17AF2" w:rsidRPr="00C66F30">
        <w:rPr>
          <w:rFonts w:ascii="Times New Roman" w:hAnsi="Times New Roman"/>
          <w:color w:val="000000"/>
          <w:sz w:val="22"/>
          <w:szCs w:val="22"/>
        </w:rPr>
        <w:t>Paulo Sérgio de Campos Borges</w:t>
      </w:r>
      <w:r w:rsidRPr="00C66F30">
        <w:rPr>
          <w:rFonts w:ascii="Times New Roman" w:hAnsi="Times New Roman"/>
          <w:sz w:val="22"/>
          <w:szCs w:val="22"/>
        </w:rPr>
        <w:t>;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C4012" w:rsidRPr="00C66F30">
        <w:rPr>
          <w:rFonts w:ascii="Times New Roman" w:hAnsi="Times New Roman"/>
          <w:color w:val="000000"/>
          <w:sz w:val="22"/>
          <w:szCs w:val="22"/>
        </w:rPr>
        <w:t>0</w:t>
      </w:r>
      <w:r w:rsidR="00484F54">
        <w:rPr>
          <w:rFonts w:ascii="Times New Roman" w:hAnsi="Times New Roman"/>
          <w:color w:val="000000"/>
          <w:sz w:val="22"/>
          <w:szCs w:val="22"/>
        </w:rPr>
        <w:t>1</w:t>
      </w:r>
      <w:r w:rsidR="006C4012"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C4012" w:rsidRPr="00C66F30">
        <w:rPr>
          <w:rFonts w:ascii="Times New Roman" w:hAnsi="Times New Roman"/>
          <w:b/>
          <w:color w:val="000000"/>
          <w:sz w:val="22"/>
          <w:szCs w:val="22"/>
        </w:rPr>
        <w:t xml:space="preserve">ausência </w:t>
      </w:r>
      <w:r w:rsidR="006C4012" w:rsidRPr="00C66F30">
        <w:rPr>
          <w:rFonts w:ascii="Times New Roman" w:hAnsi="Times New Roman"/>
          <w:bCs/>
          <w:color w:val="000000"/>
          <w:sz w:val="22"/>
          <w:szCs w:val="22"/>
        </w:rPr>
        <w:t>justificada da Conselheira</w:t>
      </w:r>
      <w:r w:rsidR="006C4012">
        <w:rPr>
          <w:rFonts w:ascii="Times New Roman" w:hAnsi="Times New Roman"/>
          <w:bCs/>
          <w:color w:val="000000"/>
          <w:sz w:val="22"/>
          <w:szCs w:val="22"/>
        </w:rPr>
        <w:t xml:space="preserve"> Titular</w:t>
      </w:r>
      <w:r w:rsidR="006C4012"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Maristene Amaral Matos e </w:t>
      </w:r>
      <w:r w:rsidR="006C4012">
        <w:rPr>
          <w:rFonts w:ascii="Times New Roman" w:hAnsi="Times New Roman"/>
          <w:bCs/>
          <w:color w:val="000000"/>
          <w:sz w:val="22"/>
          <w:szCs w:val="22"/>
        </w:rPr>
        <w:t xml:space="preserve">do Conselheiro Suplente </w:t>
      </w:r>
      <w:r w:rsidR="006C4012" w:rsidRPr="00C66F30">
        <w:rPr>
          <w:rFonts w:ascii="Times New Roman" w:hAnsi="Times New Roman"/>
          <w:bCs/>
          <w:color w:val="000000"/>
          <w:sz w:val="22"/>
          <w:szCs w:val="22"/>
        </w:rPr>
        <w:t>Deodato Gomes Monteiro Neto</w:t>
      </w:r>
      <w:r w:rsidR="006C4012" w:rsidRPr="00C66F30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60CBC333" w14:textId="1C05AA2F" w:rsidR="005C37AD" w:rsidRPr="00C66F30" w:rsidRDefault="005C37AD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205E88CB" w14:textId="65B2A4AB" w:rsidR="00B15500" w:rsidRPr="00C66F30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1164148F" w14:textId="77777777" w:rsidR="00B15500" w:rsidRPr="00C66F30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C66F30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749BD8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98246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EB96DA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AB1195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258E0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6C736B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8B6BA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05F61C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6378F66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C85100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C58DF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0E38B3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460214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6E8B2E0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823034F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42AF90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355F431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85BD37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CB8B069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4548649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9B065B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F3A734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065FA6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34452D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F2B64B1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EC2A6F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C8BB18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625C46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1EBBC9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BAFCB26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112AC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7A3C49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0B92DE5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B2272A5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99028AC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0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6A752087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CFF3075" w:rsidR="003F6E32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5C0DA19F" w:rsidR="003F6E32" w:rsidRDefault="00A17AF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6268D2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707" w14:textId="0FFA4191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8565" w14:textId="5F0B63BC" w:rsidR="00B602EC" w:rsidRDefault="00A17AF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2F8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E51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21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3C782182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ABD1" w14:textId="295216D0" w:rsidR="00B602EC" w:rsidRDefault="008C1DFA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600C" w14:textId="794BC6B0" w:rsidR="00B602EC" w:rsidRDefault="00A17AF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6E2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6DB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C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1606013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AF1" w14:textId="76B65406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1B4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4A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AA55" w14:textId="22861DF3" w:rsidR="00B602EC" w:rsidRDefault="00A17AF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0EE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5E7D8DE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379A54D8" w:rsidR="00B602EC" w:rsidRDefault="00A17AF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3BE63863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740EBF7D" w:rsidR="00B602EC" w:rsidRDefault="00A17AF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6C9222A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3051AFC8" w:rsidR="00B602EC" w:rsidRDefault="00A17AF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B43EE" w14:paraId="65888709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307" w14:textId="77777777" w:rsidR="00FB43EE" w:rsidRDefault="00FB43EE" w:rsidP="00FB43E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  <w:p w14:paraId="23820306" w14:textId="3A283872" w:rsidR="00FB43EE" w:rsidRDefault="00FB43EE" w:rsidP="00FB43E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F27" w14:textId="48F77F6C" w:rsidR="00FB43EE" w:rsidRDefault="00FB43EE" w:rsidP="00FB43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DA12" w14:textId="59E0293A" w:rsidR="00FB43EE" w:rsidRDefault="00FB43EE" w:rsidP="00FB43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A248" w14:textId="079A6B7E" w:rsidR="00FB43EE" w:rsidRDefault="00FB43EE" w:rsidP="00FB43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7168" w14:textId="5540A55C" w:rsidR="00FB43EE" w:rsidRDefault="00FB43EE" w:rsidP="00FB43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FB43EE" w14:paraId="363EC535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F8D7" w14:textId="77777777" w:rsidR="00FB43EE" w:rsidRDefault="00FB43EE" w:rsidP="00FB43E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  <w:p w14:paraId="60C1A0C4" w14:textId="0999E65A" w:rsidR="00FB43EE" w:rsidRDefault="00FB43EE" w:rsidP="00FB43E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7703" w14:textId="5B54201A" w:rsidR="00FB43EE" w:rsidRDefault="00FB43EE" w:rsidP="00FB43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98F1" w14:textId="456066C7" w:rsidR="00FB43EE" w:rsidRDefault="00FB43EE" w:rsidP="00FB43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09EC" w14:textId="1E53B843" w:rsidR="00FB43EE" w:rsidRDefault="00FB43EE" w:rsidP="00FB43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A1A9" w14:textId="5A0A6366" w:rsidR="00FB43EE" w:rsidRPr="00C66F30" w:rsidRDefault="00FB43EE" w:rsidP="00FB43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6F30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</w:tbl>
    <w:p w14:paraId="39059EC9" w14:textId="77777777" w:rsidR="003F6E32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0"/>
    <w:p w14:paraId="27A955A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6BABF316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35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27/05/2023</w:t>
      </w:r>
    </w:p>
    <w:p w14:paraId="58416CF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3FE37FA1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15500">
        <w:rPr>
          <w:rFonts w:ascii="Times New Roman" w:hAnsi="Times New Roman"/>
          <w:sz w:val="22"/>
          <w:szCs w:val="22"/>
        </w:rPr>
        <w:t>JULGAMENTO DE PROCESSO ÉTICO DISCIPLINAR PELO PLENÁRIO DO CAU/MT</w:t>
      </w:r>
    </w:p>
    <w:p w14:paraId="03383130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574841D6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E03673" w:rsidRPr="00A17AF2">
        <w:rPr>
          <w:rFonts w:ascii="Times New Roman" w:eastAsia="Times New Roman" w:hAnsi="Times New Roman"/>
          <w:color w:val="000000"/>
          <w:sz w:val="22"/>
          <w:szCs w:val="22"/>
        </w:rPr>
        <w:t>06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A17AF2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A17AF2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A17AF2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E03673" w:rsidRPr="00A17AF2">
        <w:rPr>
          <w:rFonts w:ascii="Times New Roman" w:eastAsia="Times New Roman" w:hAnsi="Times New Roman"/>
          <w:color w:val="000000"/>
          <w:sz w:val="22"/>
          <w:szCs w:val="22"/>
        </w:rPr>
        <w:t>01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A17AF2"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C66F30" w:rsidRPr="00A17AF2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C66F30" w:rsidRPr="00A17AF2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A17AF2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7892C3E9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7E6A0603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="00C66F30">
        <w:rPr>
          <w:rFonts w:ascii="Times New Roman" w:hAnsi="Times New Roman"/>
          <w:sz w:val="22"/>
          <w:szCs w:val="22"/>
          <w:lang w:eastAsia="ar-SA"/>
        </w:rPr>
        <w:t xml:space="preserve">Conselheiro Titular Cássio Amaral Matos encontra-se de licença até o dia 04 de agosto de 2023 e seu suplente Conselheiro Dionísio Carlos de Oliveira encontra-se de licença até o dia 27 de maio de 2023. </w:t>
      </w:r>
    </w:p>
    <w:p w14:paraId="3A4BFC2D" w14:textId="77777777" w:rsidR="00C66F30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5FE344" w14:textId="7BFD2A48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7FE37A83" w14:textId="77777777" w:rsidR="00E0348B" w:rsidRPr="00253FBE" w:rsidRDefault="00E0348B" w:rsidP="00253FBE"/>
    <w:sectPr w:rsidR="00E0348B" w:rsidRPr="00253FB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7860" w14:textId="77777777" w:rsidR="00651A32" w:rsidRDefault="00651A32">
      <w:r>
        <w:separator/>
      </w:r>
    </w:p>
  </w:endnote>
  <w:endnote w:type="continuationSeparator" w:id="0">
    <w:p w14:paraId="1D7D03F7" w14:textId="77777777" w:rsidR="00651A32" w:rsidRDefault="006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D113" w14:textId="77777777" w:rsidR="00651A32" w:rsidRDefault="00651A32">
      <w:r>
        <w:separator/>
      </w:r>
    </w:p>
  </w:footnote>
  <w:footnote w:type="continuationSeparator" w:id="0">
    <w:p w14:paraId="57E7AC29" w14:textId="77777777" w:rsidR="00651A32" w:rsidRDefault="0065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FF2C72" w:rsidRPr="00B518EB" w14:paraId="5A9D7DA1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18565694" w:rsidR="00FF2C72" w:rsidRPr="00B518EB" w:rsidRDefault="00B602EC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792272/2018</w:t>
          </w:r>
        </w:p>
      </w:tc>
    </w:tr>
    <w:tr w:rsidR="00FF2C72" w:rsidRPr="00B518EB" w14:paraId="05C79725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77777777" w:rsidR="00FF2C72" w:rsidRPr="00B518EB" w:rsidRDefault="007B053D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JULGAMENTO DE PROCESSO ÉTICO DISCIPLINAR PELO PLENÁRIO DO CAU/MT</w:t>
          </w:r>
        </w:p>
      </w:tc>
    </w:tr>
    <w:tr w:rsidR="00FF2C72" w:rsidRPr="00B518EB" w14:paraId="7AAB76E4" w14:textId="77777777" w:rsidTr="000779B5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46C66085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RELATOR</w:t>
          </w:r>
          <w:r w:rsidR="00B85A85">
            <w:rPr>
              <w:rFonts w:ascii="Times New Roman" w:eastAsia="Times New Roman" w:hAnsi="Times New Roman"/>
              <w:lang w:eastAsia="pt-BR"/>
            </w:rPr>
            <w:t>A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728D6C4A" w:rsidR="00FF2C72" w:rsidRPr="00B518EB" w:rsidRDefault="007B053D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CONSELHEIRA </w:t>
          </w:r>
          <w:r w:rsidR="00B602EC">
            <w:rPr>
              <w:rFonts w:ascii="Times New Roman" w:hAnsi="Times New Roman"/>
            </w:rPr>
            <w:t>VANESSA BRESSAN KOEHLER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0FEA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84F54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5D9B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51A32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012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396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C1DFA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AF2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80C97"/>
    <w:rsid w:val="00B81C09"/>
    <w:rsid w:val="00B85A85"/>
    <w:rsid w:val="00B85ECC"/>
    <w:rsid w:val="00B910CC"/>
    <w:rsid w:val="00B917AC"/>
    <w:rsid w:val="00B94CC8"/>
    <w:rsid w:val="00B95FAD"/>
    <w:rsid w:val="00B973C6"/>
    <w:rsid w:val="00BA3AF1"/>
    <w:rsid w:val="00BA593D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3673"/>
    <w:rsid w:val="00E04857"/>
    <w:rsid w:val="00E05C39"/>
    <w:rsid w:val="00E0709A"/>
    <w:rsid w:val="00E10F05"/>
    <w:rsid w:val="00E12AB7"/>
    <w:rsid w:val="00E12D60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0F3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1788D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43EE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543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18</cp:revision>
  <cp:lastPrinted>2023-05-30T19:53:00Z</cp:lastPrinted>
  <dcterms:created xsi:type="dcterms:W3CDTF">2022-09-28T20:40:00Z</dcterms:created>
  <dcterms:modified xsi:type="dcterms:W3CDTF">2023-05-30T19:54:00Z</dcterms:modified>
</cp:coreProperties>
</file>