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D40B" w14:textId="697A8F51" w:rsidR="00512881" w:rsidRPr="00DC4DC6" w:rsidRDefault="0007225B">
      <w:pPr>
        <w:spacing w:line="276" w:lineRule="auto"/>
        <w:jc w:val="both"/>
      </w:pPr>
      <w:r w:rsidRPr="00DC4DC6">
        <w:rPr>
          <w:rFonts w:eastAsia="Times New Roman"/>
          <w:b/>
          <w:lang w:eastAsia="pt-BR"/>
        </w:rPr>
        <w:t>A COMISSÃO DE EXERCÍCIO PROFISSIONAL – (CEP-CAU/MT),</w:t>
      </w:r>
      <w:r w:rsidRPr="00DC4DC6">
        <w:rPr>
          <w:rFonts w:eastAsia="Times New Roman"/>
          <w:lang w:eastAsia="pt-BR"/>
        </w:rPr>
        <w:t xml:space="preserve"> reunida ordinariamente de maneira virtual (aplicativo Microsoft Teams), no dia </w:t>
      </w:r>
      <w:r w:rsidR="00DC4DC6">
        <w:rPr>
          <w:rFonts w:eastAsia="Times New Roman"/>
          <w:lang w:eastAsia="pt-BR"/>
        </w:rPr>
        <w:t>28 de julho</w:t>
      </w:r>
      <w:r w:rsidR="00F300A0" w:rsidRPr="00DC4DC6">
        <w:rPr>
          <w:rFonts w:eastAsia="Times New Roman"/>
          <w:lang w:eastAsia="pt-BR"/>
        </w:rPr>
        <w:t xml:space="preserve"> </w:t>
      </w:r>
      <w:r w:rsidRPr="00DC4DC6">
        <w:rPr>
          <w:rFonts w:eastAsia="Times New Roman"/>
          <w:lang w:eastAsia="pt-BR"/>
        </w:rPr>
        <w:t>de 2023, no uso das competências que lhe conferem o ar</w:t>
      </w:r>
      <w:r w:rsidR="00DC4DC6">
        <w:rPr>
          <w:rFonts w:eastAsia="Times New Roman"/>
          <w:lang w:eastAsia="pt-BR"/>
        </w:rPr>
        <w:t>tigo</w:t>
      </w:r>
      <w:r w:rsidRPr="00DC4DC6">
        <w:rPr>
          <w:rFonts w:eastAsia="Times New Roman"/>
          <w:lang w:eastAsia="pt-BR"/>
        </w:rPr>
        <w:t xml:space="preserve"> 96 do Regimento Interno do CAU/MT, após análise do assunto em epígrafe, e</w:t>
      </w:r>
    </w:p>
    <w:p w14:paraId="74217BD1" w14:textId="77777777" w:rsidR="00512881" w:rsidRPr="00DC4DC6" w:rsidRDefault="00512881">
      <w:pPr>
        <w:spacing w:line="276" w:lineRule="auto"/>
        <w:jc w:val="both"/>
        <w:rPr>
          <w:rFonts w:eastAsia="Times New Roman"/>
          <w:lang w:eastAsia="pt-BR"/>
        </w:rPr>
      </w:pPr>
    </w:p>
    <w:p w14:paraId="1965B8A7" w14:textId="32701128" w:rsidR="00DC4DC6" w:rsidRPr="00DC4DC6" w:rsidRDefault="0007225B">
      <w:pPr>
        <w:pStyle w:val="NormalWeb"/>
        <w:spacing w:line="276" w:lineRule="auto"/>
        <w:jc w:val="both"/>
        <w:rPr>
          <w:rFonts w:ascii="Cambria" w:eastAsia="Times New Roman" w:hAnsi="Cambria"/>
          <w:sz w:val="24"/>
          <w:szCs w:val="24"/>
          <w:lang w:eastAsia="pt-BR"/>
        </w:rPr>
      </w:pPr>
      <w:r w:rsidRPr="00DC4DC6">
        <w:rPr>
          <w:rFonts w:ascii="Cambria" w:eastAsia="Times New Roman" w:hAnsi="Cambria"/>
          <w:sz w:val="24"/>
          <w:szCs w:val="24"/>
          <w:lang w:eastAsia="pt-BR"/>
        </w:rPr>
        <w:t xml:space="preserve">Considerando </w:t>
      </w:r>
      <w:r w:rsidR="00DC4DC6" w:rsidRPr="00DC4DC6">
        <w:rPr>
          <w:rFonts w:ascii="Cambria" w:eastAsia="Times New Roman" w:hAnsi="Cambria"/>
          <w:sz w:val="24"/>
          <w:szCs w:val="24"/>
          <w:lang w:eastAsia="pt-BR"/>
        </w:rPr>
        <w:t>o encaminhamento do</w:t>
      </w:r>
      <w:r w:rsidR="00DC4DC6" w:rsidRPr="00DC4DC6">
        <w:rPr>
          <w:rFonts w:ascii="Cambria" w:hAnsi="Cambria"/>
          <w:sz w:val="24"/>
          <w:szCs w:val="24"/>
        </w:rPr>
        <w:t xml:space="preserve"> Memorando 23.01.002/SATE enviado pela Supervisão de Atendimento em 16 de janeiro de 2023, o qual questiona e solicita posicionamento acerca da transferência para o SICCAU da pessoa jurídica com registro originário no Conselho Regional de Engenharia, Arquitetura e Agronomia (CREA).</w:t>
      </w:r>
    </w:p>
    <w:p w14:paraId="35B5CBAC" w14:textId="77777777" w:rsidR="00512881" w:rsidRPr="00DC4DC6" w:rsidRDefault="00512881">
      <w:pPr>
        <w:pStyle w:val="NormalWeb"/>
        <w:spacing w:line="276" w:lineRule="auto"/>
        <w:jc w:val="both"/>
        <w:rPr>
          <w:rFonts w:ascii="Cambria" w:eastAsia="Times New Roman" w:hAnsi="Cambria"/>
          <w:sz w:val="24"/>
          <w:szCs w:val="24"/>
          <w:lang w:eastAsia="pt-BR"/>
        </w:rPr>
      </w:pPr>
    </w:p>
    <w:p w14:paraId="4F396927" w14:textId="1B5CF5AC" w:rsidR="00DC4DC6" w:rsidRDefault="0007225B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  <w:r w:rsidRPr="00DC4DC6">
        <w:rPr>
          <w:rFonts w:ascii="Cambria" w:eastAsia="Times New Roman" w:hAnsi="Cambria"/>
          <w:sz w:val="24"/>
          <w:szCs w:val="24"/>
          <w:lang w:eastAsia="pt-BR"/>
        </w:rPr>
        <w:t xml:space="preserve">Considerando que </w:t>
      </w:r>
      <w:r w:rsidR="00DC4DC6" w:rsidRPr="00DC4DC6">
        <w:rPr>
          <w:rFonts w:ascii="Cambria" w:eastAsia="Times New Roman" w:hAnsi="Cambria"/>
          <w:sz w:val="24"/>
          <w:szCs w:val="24"/>
          <w:lang w:eastAsia="pt-BR"/>
        </w:rPr>
        <w:t xml:space="preserve">o artigo 55, parágrafo único, da Lei nº. 12.378/2010 </w:t>
      </w:r>
      <w:r w:rsidR="00DC4DC6" w:rsidRPr="00DC4DC6">
        <w:rPr>
          <w:rFonts w:ascii="Cambria" w:hAnsi="Cambria"/>
          <w:sz w:val="24"/>
          <w:szCs w:val="24"/>
        </w:rPr>
        <w:t>estabeleceu a migração automática dos profissionais arquitetos e urbanistas para o CAU, porém não tratou expressamente acerca das pessoas jurídicas de arquitetura e urbanismo.</w:t>
      </w:r>
    </w:p>
    <w:p w14:paraId="4AB89726" w14:textId="77777777" w:rsidR="00DC4DC6" w:rsidRDefault="00DC4DC6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B8649C7" w14:textId="028658DD" w:rsidR="00DC4DC6" w:rsidRDefault="00DC4DC6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Considerando que a ausência de entendimento consolidado sobre o tema acarreta em enorme insegurança jurídica no momento da cobrança das empresas que foram migradas automaticamente, mas que ainda possuíam registro ativo no CREA.</w:t>
      </w:r>
    </w:p>
    <w:p w14:paraId="1A9B6BC4" w14:textId="77777777" w:rsidR="00DC4DC6" w:rsidRDefault="00DC4DC6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1D91296" w14:textId="17643EAE" w:rsidR="00DC4DC6" w:rsidRDefault="00DC4DC6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Considerando que o entendimento pacificado sobre o assunto é de interesse comum e relevante a todos os CAU </w:t>
      </w:r>
      <w:proofErr w:type="spellStart"/>
      <w:r>
        <w:rPr>
          <w:rFonts w:ascii="Cambria" w:hAnsi="Cambria"/>
          <w:sz w:val="24"/>
          <w:szCs w:val="24"/>
        </w:rPr>
        <w:t>UF´s</w:t>
      </w:r>
      <w:proofErr w:type="spellEnd"/>
      <w:r>
        <w:rPr>
          <w:rFonts w:ascii="Cambria" w:hAnsi="Cambria"/>
          <w:sz w:val="24"/>
          <w:szCs w:val="24"/>
        </w:rPr>
        <w:t xml:space="preserve">, como bem pontuou o </w:t>
      </w:r>
      <w:r w:rsidR="00C57913">
        <w:rPr>
          <w:rFonts w:ascii="Cambria" w:hAnsi="Cambria"/>
          <w:sz w:val="24"/>
          <w:szCs w:val="24"/>
        </w:rPr>
        <w:t>setor j</w:t>
      </w:r>
      <w:r>
        <w:rPr>
          <w:rFonts w:ascii="Cambria" w:hAnsi="Cambria"/>
          <w:sz w:val="24"/>
          <w:szCs w:val="24"/>
        </w:rPr>
        <w:t>urídico do CAU/MT em seu parecer.</w:t>
      </w:r>
    </w:p>
    <w:p w14:paraId="44448FF1" w14:textId="77777777" w:rsidR="00DC4DC6" w:rsidRDefault="00DC4DC6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A809E49" w14:textId="766E0066" w:rsidR="00DC4DC6" w:rsidRPr="00DC4DC6" w:rsidRDefault="00DC4DC6" w:rsidP="00DC4DC6">
      <w:pPr>
        <w:pStyle w:val="NormalWeb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Considerando o relatório e voto fundamentado do Conselheiro Relator Enodes Soares Ferreira.</w:t>
      </w:r>
    </w:p>
    <w:p w14:paraId="2CB390A8" w14:textId="77777777" w:rsidR="00512881" w:rsidRPr="00DC4DC6" w:rsidRDefault="00512881">
      <w:pPr>
        <w:pStyle w:val="NormalWeb"/>
        <w:spacing w:line="276" w:lineRule="auto"/>
        <w:jc w:val="center"/>
        <w:rPr>
          <w:rFonts w:ascii="Cambria" w:eastAsia="Times New Roman" w:hAnsi="Cambria"/>
          <w:b/>
          <w:sz w:val="24"/>
          <w:szCs w:val="24"/>
          <w:lang w:eastAsia="pt-BR"/>
        </w:rPr>
      </w:pPr>
    </w:p>
    <w:p w14:paraId="7FC1367F" w14:textId="77777777" w:rsidR="00512881" w:rsidRPr="00DC4DC6" w:rsidRDefault="0007225B">
      <w:pPr>
        <w:spacing w:line="276" w:lineRule="auto"/>
        <w:jc w:val="both"/>
        <w:rPr>
          <w:rFonts w:eastAsia="Times New Roman"/>
          <w:b/>
          <w:lang w:eastAsia="pt-BR"/>
        </w:rPr>
      </w:pPr>
      <w:r w:rsidRPr="00DC4DC6">
        <w:rPr>
          <w:rFonts w:eastAsia="Times New Roman"/>
          <w:b/>
          <w:lang w:eastAsia="pt-BR"/>
        </w:rPr>
        <w:t>DELIBEROU:</w:t>
      </w:r>
    </w:p>
    <w:p w14:paraId="3254B28E" w14:textId="77777777" w:rsidR="00512881" w:rsidRPr="00DC4DC6" w:rsidRDefault="00512881">
      <w:pPr>
        <w:spacing w:line="276" w:lineRule="auto"/>
        <w:jc w:val="both"/>
        <w:rPr>
          <w:rFonts w:eastAsia="Times New Roman"/>
          <w:b/>
          <w:lang w:eastAsia="pt-BR"/>
        </w:rPr>
      </w:pPr>
    </w:p>
    <w:p w14:paraId="7652B458" w14:textId="036BDD12" w:rsidR="00512881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 w:rsidRPr="00DC4DC6">
        <w:t xml:space="preserve">Aprovar, por unanimidade, </w:t>
      </w:r>
      <w:r w:rsidR="00DC4DC6">
        <w:rPr>
          <w:color w:val="000000"/>
        </w:rPr>
        <w:t xml:space="preserve">pela expedição de ofício direcionado à CEP do CAU/BR </w:t>
      </w:r>
      <w:r w:rsidR="00DC4DC6">
        <w:t xml:space="preserve">para que seja consolidado entendimento e </w:t>
      </w:r>
      <w:r w:rsidR="00C57913">
        <w:t xml:space="preserve">prestem a devida </w:t>
      </w:r>
      <w:r w:rsidR="00DC4DC6">
        <w:t>orientação</w:t>
      </w:r>
      <w:r w:rsidR="00C57913">
        <w:t xml:space="preserve"> aos CAU/</w:t>
      </w:r>
      <w:proofErr w:type="spellStart"/>
      <w:r w:rsidR="00C57913">
        <w:t>UF’s</w:t>
      </w:r>
      <w:proofErr w:type="spellEnd"/>
      <w:r w:rsidR="00C57913">
        <w:t xml:space="preserve"> </w:t>
      </w:r>
      <w:r w:rsidR="00DC4DC6">
        <w:t>a respeito da transferência para o SICCAU da pessoa jurídica com registro originário no Conselho Regional de Engenharia, Arquitetura e Agronomia (CREA).</w:t>
      </w:r>
      <w:r w:rsidRPr="00DC4DC6">
        <w:t xml:space="preserve"> </w:t>
      </w:r>
    </w:p>
    <w:p w14:paraId="39DF0C98" w14:textId="77777777" w:rsidR="00357917" w:rsidRDefault="00357917" w:rsidP="00357917">
      <w:pPr>
        <w:pStyle w:val="PargrafodaLista"/>
        <w:tabs>
          <w:tab w:val="left" w:pos="1418"/>
        </w:tabs>
        <w:spacing w:line="276" w:lineRule="auto"/>
        <w:jc w:val="both"/>
      </w:pPr>
    </w:p>
    <w:p w14:paraId="1189032C" w14:textId="34284F66" w:rsidR="00357917" w:rsidRDefault="00357917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lastRenderedPageBreak/>
        <w:t>Sem o prejuízo do acima disposto, requer-se que o Setor Técnico do Atendimento do CAU/MT promova ao levantamento do número das empresas que foram migradas automaticamente e das atividades dispostas junto ao CNAE;</w:t>
      </w:r>
    </w:p>
    <w:p w14:paraId="0E5888D2" w14:textId="77777777" w:rsidR="00357917" w:rsidRDefault="00357917" w:rsidP="00357917">
      <w:pPr>
        <w:pStyle w:val="PargrafodaLista"/>
      </w:pPr>
    </w:p>
    <w:p w14:paraId="34F0A0E0" w14:textId="090972AA" w:rsidR="00357917" w:rsidRDefault="00357917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t>Recomenda-se a notificação das empresas com atividades compartilhadas</w:t>
      </w:r>
      <w:r w:rsidR="0055205D">
        <w:t xml:space="preserve"> </w:t>
      </w:r>
      <w:r>
        <w:t>em arquitetura</w:t>
      </w:r>
      <w:r w:rsidR="0055205D">
        <w:t xml:space="preserve"> que foram migradas automaticamente informem se manterão o </w:t>
      </w:r>
      <w:r>
        <w:t>registro junto ao CAU/MT</w:t>
      </w:r>
      <w:r w:rsidR="0055205D">
        <w:t xml:space="preserve"> e procedam à devida regularização</w:t>
      </w:r>
      <w:r>
        <w:t>;</w:t>
      </w:r>
    </w:p>
    <w:p w14:paraId="113FE0E3" w14:textId="77777777" w:rsidR="00357917" w:rsidRDefault="00357917" w:rsidP="00357917">
      <w:pPr>
        <w:pStyle w:val="PargrafodaLista"/>
      </w:pPr>
    </w:p>
    <w:p w14:paraId="64FE779E" w14:textId="5613FEBC" w:rsidR="00357917" w:rsidRPr="00DC4DC6" w:rsidRDefault="00357917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t>Para as empresas com atividades específicas, mantenha-se as devidas cobranças;</w:t>
      </w:r>
    </w:p>
    <w:p w14:paraId="5DDD8E1A" w14:textId="77777777" w:rsidR="00512881" w:rsidRPr="00DC4DC6" w:rsidRDefault="00512881">
      <w:pPr>
        <w:pStyle w:val="PargrafodaLista"/>
        <w:tabs>
          <w:tab w:val="left" w:pos="1418"/>
        </w:tabs>
        <w:spacing w:line="276" w:lineRule="auto"/>
        <w:jc w:val="both"/>
      </w:pPr>
    </w:p>
    <w:p w14:paraId="17A15849" w14:textId="77777777" w:rsidR="00512881" w:rsidRPr="00DC4DC6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 w:rsidRPr="00DC4DC6">
        <w:t>Esta deliberação entra em vigor nesta data.</w:t>
      </w:r>
    </w:p>
    <w:p w14:paraId="48EEF3D1" w14:textId="77777777" w:rsidR="00512881" w:rsidRPr="00DC4DC6" w:rsidRDefault="00512881">
      <w:pPr>
        <w:tabs>
          <w:tab w:val="left" w:pos="1418"/>
        </w:tabs>
        <w:spacing w:line="276" w:lineRule="auto"/>
        <w:jc w:val="both"/>
        <w:rPr>
          <w:rFonts w:eastAsia="Times New Roman"/>
          <w:lang w:eastAsia="pt-BR"/>
        </w:rPr>
      </w:pPr>
    </w:p>
    <w:p w14:paraId="120C7624" w14:textId="219BFFD0" w:rsidR="00512881" w:rsidRPr="00DC4DC6" w:rsidRDefault="0007225B">
      <w:pPr>
        <w:tabs>
          <w:tab w:val="left" w:pos="284"/>
          <w:tab w:val="left" w:pos="851"/>
        </w:tabs>
        <w:spacing w:line="276" w:lineRule="auto"/>
        <w:jc w:val="both"/>
        <w:rPr>
          <w:color w:val="000000" w:themeColor="text1"/>
        </w:rPr>
      </w:pPr>
      <w:r w:rsidRPr="00DC4DC6">
        <w:rPr>
          <w:rFonts w:eastAsia="Times New Roman"/>
          <w:color w:val="000000" w:themeColor="text1"/>
          <w:lang w:eastAsia="pt-BR"/>
        </w:rPr>
        <w:t>Com 04</w:t>
      </w:r>
      <w:r w:rsidRPr="00DC4DC6">
        <w:rPr>
          <w:rFonts w:eastAsia="Times New Roman"/>
          <w:b/>
          <w:color w:val="000000" w:themeColor="text1"/>
          <w:lang w:eastAsia="pt-BR"/>
        </w:rPr>
        <w:t xml:space="preserve"> votos favoráveis </w:t>
      </w:r>
      <w:r w:rsidRPr="00DC4DC6">
        <w:rPr>
          <w:rFonts w:eastAsia="Times New Roman"/>
          <w:color w:val="000000" w:themeColor="text1"/>
          <w:lang w:eastAsia="pt-BR"/>
        </w:rPr>
        <w:t xml:space="preserve">dos Conselheiros Alexsandro Reis, </w:t>
      </w:r>
      <w:r w:rsidR="0007079D" w:rsidRPr="00DC4DC6">
        <w:rPr>
          <w:rFonts w:eastAsia="Times New Roman"/>
          <w:color w:val="000000" w:themeColor="text1"/>
          <w:lang w:eastAsia="pt-BR"/>
        </w:rPr>
        <w:t xml:space="preserve">Karen </w:t>
      </w:r>
      <w:proofErr w:type="spellStart"/>
      <w:r w:rsidR="0007079D" w:rsidRPr="00DC4DC6">
        <w:rPr>
          <w:rFonts w:eastAsia="Times New Roman"/>
          <w:color w:val="000000" w:themeColor="text1"/>
          <w:lang w:eastAsia="pt-BR"/>
        </w:rPr>
        <w:t>Mayumi</w:t>
      </w:r>
      <w:proofErr w:type="spellEnd"/>
      <w:r w:rsidR="0007079D" w:rsidRPr="00DC4DC6">
        <w:rPr>
          <w:rFonts w:eastAsia="Times New Roman"/>
          <w:color w:val="000000" w:themeColor="text1"/>
          <w:lang w:eastAsia="pt-BR"/>
        </w:rPr>
        <w:t xml:space="preserve"> Matsumoto</w:t>
      </w:r>
      <w:r w:rsidRPr="00DC4DC6">
        <w:rPr>
          <w:rFonts w:eastAsia="Times New Roman"/>
          <w:color w:val="000000" w:themeColor="text1"/>
          <w:lang w:eastAsia="pt-BR"/>
        </w:rPr>
        <w:t xml:space="preserve">, </w:t>
      </w:r>
      <w:r w:rsidR="00DD131A">
        <w:rPr>
          <w:rFonts w:eastAsia="Times New Roman"/>
          <w:color w:val="000000" w:themeColor="text1"/>
          <w:lang w:eastAsia="pt-BR"/>
        </w:rPr>
        <w:t>Enodes Soares Ferreira</w:t>
      </w:r>
      <w:r w:rsidRPr="00DC4DC6">
        <w:rPr>
          <w:rFonts w:eastAsia="Times New Roman"/>
          <w:color w:val="000000" w:themeColor="text1"/>
          <w:lang w:eastAsia="pt-BR"/>
        </w:rPr>
        <w:t xml:space="preserve"> e Thiago Rafael </w:t>
      </w:r>
      <w:proofErr w:type="spellStart"/>
      <w:r w:rsidRPr="00DC4DC6">
        <w:rPr>
          <w:rFonts w:eastAsia="Times New Roman"/>
          <w:color w:val="000000" w:themeColor="text1"/>
          <w:lang w:eastAsia="pt-BR"/>
        </w:rPr>
        <w:t>Pandini</w:t>
      </w:r>
      <w:proofErr w:type="spellEnd"/>
      <w:r w:rsidRPr="00DC4DC6">
        <w:rPr>
          <w:rFonts w:eastAsia="Times New Roman"/>
          <w:color w:val="000000" w:themeColor="text1"/>
          <w:lang w:eastAsia="pt-BR"/>
        </w:rPr>
        <w:t xml:space="preserve">; </w:t>
      </w:r>
      <w:r w:rsidRPr="00DC4DC6">
        <w:rPr>
          <w:rFonts w:eastAsia="Times New Roman"/>
          <w:b/>
          <w:color w:val="000000" w:themeColor="text1"/>
          <w:lang w:eastAsia="pt-BR"/>
        </w:rPr>
        <w:t>00 votos contrários</w:t>
      </w:r>
      <w:r w:rsidRPr="00DC4DC6">
        <w:rPr>
          <w:rFonts w:eastAsia="Times New Roman"/>
          <w:color w:val="000000" w:themeColor="text1"/>
          <w:lang w:eastAsia="pt-BR"/>
        </w:rPr>
        <w:t xml:space="preserve">; </w:t>
      </w:r>
      <w:r w:rsidRPr="00DC4DC6">
        <w:rPr>
          <w:rFonts w:eastAsia="Times New Roman"/>
          <w:b/>
          <w:color w:val="000000" w:themeColor="text1"/>
          <w:lang w:eastAsia="pt-BR"/>
        </w:rPr>
        <w:t xml:space="preserve">00 abstenções; </w:t>
      </w:r>
      <w:r w:rsidRPr="00DC4DC6">
        <w:rPr>
          <w:rFonts w:eastAsia="Times New Roman"/>
          <w:color w:val="000000" w:themeColor="text1"/>
          <w:lang w:eastAsia="pt-BR"/>
        </w:rPr>
        <w:t xml:space="preserve">e </w:t>
      </w:r>
      <w:r w:rsidRPr="00DC4DC6">
        <w:rPr>
          <w:rFonts w:eastAsia="Times New Roman"/>
          <w:b/>
          <w:bCs/>
          <w:color w:val="000000" w:themeColor="text1"/>
          <w:lang w:eastAsia="pt-BR"/>
        </w:rPr>
        <w:t>00 ausência</w:t>
      </w:r>
      <w:r w:rsidR="002978A4">
        <w:rPr>
          <w:rFonts w:eastAsia="Times New Roman"/>
          <w:b/>
          <w:bCs/>
          <w:color w:val="000000" w:themeColor="text1"/>
          <w:lang w:eastAsia="pt-BR"/>
        </w:rPr>
        <w:t>s</w:t>
      </w:r>
      <w:r w:rsidRPr="00DC4DC6">
        <w:rPr>
          <w:rFonts w:eastAsia="Times New Roman"/>
          <w:b/>
          <w:bCs/>
          <w:color w:val="000000" w:themeColor="text1"/>
          <w:lang w:eastAsia="pt-BR"/>
        </w:rPr>
        <w:t>.</w:t>
      </w:r>
    </w:p>
    <w:p w14:paraId="031CF50F" w14:textId="77777777" w:rsidR="00512881" w:rsidRPr="00DC4DC6" w:rsidRDefault="00512881">
      <w:pPr>
        <w:tabs>
          <w:tab w:val="left" w:pos="3224"/>
        </w:tabs>
        <w:autoSpaceDE w:val="0"/>
        <w:spacing w:line="276" w:lineRule="auto"/>
        <w:rPr>
          <w:color w:val="000000" w:themeColor="text1"/>
        </w:rPr>
      </w:pPr>
    </w:p>
    <w:p w14:paraId="08F1F9D9" w14:textId="77777777" w:rsidR="00512881" w:rsidRPr="00DC4DC6" w:rsidRDefault="00512881">
      <w:pPr>
        <w:tabs>
          <w:tab w:val="left" w:pos="3224"/>
        </w:tabs>
        <w:autoSpaceDE w:val="0"/>
        <w:spacing w:line="276" w:lineRule="auto"/>
        <w:rPr>
          <w:color w:val="000000" w:themeColor="text1"/>
        </w:rPr>
      </w:pPr>
    </w:p>
    <w:p w14:paraId="577FF755" w14:textId="77777777" w:rsidR="00585C86" w:rsidRPr="00DC4DC6" w:rsidRDefault="00585C86">
      <w:pPr>
        <w:tabs>
          <w:tab w:val="left" w:pos="3224"/>
        </w:tabs>
        <w:autoSpaceDE w:val="0"/>
        <w:spacing w:line="276" w:lineRule="auto"/>
        <w:rPr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7225B" w:rsidRPr="00DC4DC6" w14:paraId="7A821184" w14:textId="77777777">
        <w:tc>
          <w:tcPr>
            <w:tcW w:w="5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28E" w14:textId="28FC8D34" w:rsidR="00512881" w:rsidRPr="00DC4DC6" w:rsidRDefault="0007079D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DC4DC6">
              <w:rPr>
                <w:rFonts w:eastAsia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2370CF50" w14:textId="7BC1DC27" w:rsidR="00512881" w:rsidRPr="00DC4DC6" w:rsidRDefault="0007225B">
            <w:pPr>
              <w:autoSpaceDE w:val="0"/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t xml:space="preserve">Coordenadora </w:t>
            </w:r>
          </w:p>
          <w:p w14:paraId="39CE0389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</w:p>
          <w:p w14:paraId="2F6A5F95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</w:p>
          <w:p w14:paraId="1EE1B58A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67CDB2AC" w14:textId="574B4E5E" w:rsidR="0007079D" w:rsidRPr="00DC4DC6" w:rsidRDefault="00DD131A" w:rsidP="0007079D">
            <w:pPr>
              <w:autoSpaceDE w:val="0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b/>
                <w:caps/>
                <w:color w:val="000000" w:themeColor="text1"/>
                <w:spacing w:val="4"/>
              </w:rPr>
              <w:t>ENODES SOARES FERREIRA</w:t>
            </w:r>
          </w:p>
          <w:p w14:paraId="594C5137" w14:textId="4B4125F5" w:rsidR="0007079D" w:rsidRPr="00DC4DC6" w:rsidRDefault="00DD131A" w:rsidP="0007079D">
            <w:pPr>
              <w:autoSpaceDE w:val="0"/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086E8CD1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141CE2AE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3330DBE4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747099E2" w14:textId="77777777" w:rsidR="00512881" w:rsidRPr="00DC4DC6" w:rsidRDefault="0007225B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DC4DC6">
              <w:rPr>
                <w:rFonts w:eastAsia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1ECC6E10" w14:textId="77777777" w:rsidR="00512881" w:rsidRPr="00DC4DC6" w:rsidRDefault="0007225B">
            <w:pPr>
              <w:autoSpaceDE w:val="0"/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23A71223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5B6F96A4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62F2E7D2" w14:textId="77777777" w:rsidR="00512881" w:rsidRPr="00DC4DC6" w:rsidRDefault="00512881">
            <w:pPr>
              <w:autoSpaceDE w:val="0"/>
              <w:spacing w:line="276" w:lineRule="auto"/>
              <w:rPr>
                <w:rFonts w:eastAsia="Times New Roman"/>
                <w:b/>
                <w:caps/>
                <w:color w:val="000000" w:themeColor="text1"/>
                <w:spacing w:val="4"/>
              </w:rPr>
            </w:pPr>
          </w:p>
          <w:p w14:paraId="1BB43FC1" w14:textId="77777777" w:rsidR="00512881" w:rsidRPr="00DC4DC6" w:rsidRDefault="0007225B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DC4DC6">
              <w:rPr>
                <w:rFonts w:eastAsia="Times New Roman"/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DC4DC6">
              <w:rPr>
                <w:rFonts w:eastAsia="Times New Roman"/>
                <w:b/>
                <w:caps/>
                <w:color w:val="000000" w:themeColor="text1"/>
                <w:spacing w:val="4"/>
              </w:rPr>
              <w:tab/>
            </w:r>
            <w:r w:rsidRPr="00DC4DC6">
              <w:rPr>
                <w:rFonts w:eastAsia="Times New Roman"/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6CFE8822" w14:textId="77777777" w:rsidR="00512881" w:rsidRPr="00DC4DC6" w:rsidRDefault="0007225B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DC4DC6">
              <w:rPr>
                <w:rFonts w:eastAsia="Times New Roman"/>
                <w:color w:val="000000" w:themeColor="text1"/>
                <w:lang w:eastAsia="pt-BR"/>
              </w:rPr>
              <w:t>Membro</w:t>
            </w: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62F4" w14:textId="77777777" w:rsidR="00512881" w:rsidRPr="00DC4DC6" w:rsidRDefault="0007225B">
            <w:pPr>
              <w:autoSpaceDE w:val="0"/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12162C58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77AFEFA0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388CE27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22597FEB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5E8D145D" w14:textId="77777777" w:rsidR="00512881" w:rsidRPr="00DC4DC6" w:rsidRDefault="0007225B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65532440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41A29DBE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68A4A7B" w14:textId="77777777" w:rsidR="00512881" w:rsidRPr="00DC4DC6" w:rsidRDefault="0007225B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t xml:space="preserve">                         </w:t>
            </w:r>
          </w:p>
          <w:p w14:paraId="52581CF6" w14:textId="77777777" w:rsidR="00512881" w:rsidRPr="00DC4DC6" w:rsidRDefault="00512881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</w:p>
          <w:p w14:paraId="195BDFC3" w14:textId="77777777" w:rsidR="00512881" w:rsidRPr="00DC4DC6" w:rsidRDefault="0007225B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74A3FFDF" w14:textId="77777777" w:rsidR="00512881" w:rsidRPr="00DC4DC6" w:rsidRDefault="0007225B">
            <w:pPr>
              <w:spacing w:line="276" w:lineRule="auto"/>
              <w:rPr>
                <w:color w:val="000000" w:themeColor="text1"/>
              </w:rPr>
            </w:pPr>
            <w:r w:rsidRPr="00DC4D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839FCA" wp14:editId="7495C2F9">
                      <wp:simplePos x="0" y="0"/>
                      <wp:positionH relativeFrom="column">
                        <wp:posOffset>1059817</wp:posOffset>
                      </wp:positionH>
                      <wp:positionV relativeFrom="paragraph">
                        <wp:posOffset>151762</wp:posOffset>
                      </wp:positionV>
                      <wp:extent cx="971550" cy="280035"/>
                      <wp:effectExtent l="0" t="0" r="0" b="5715"/>
                      <wp:wrapNone/>
                      <wp:docPr id="157264566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92F2DF" w14:textId="77777777" w:rsidR="00512881" w:rsidRDefault="0051288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39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" stroked="f">
                      <v:textbox style="mso-fit-shape-to-text:t">
                        <w:txbxContent>
                          <w:p w14:paraId="0192F2DF" w14:textId="77777777" w:rsidR="00512881" w:rsidRDefault="00512881"/>
                        </w:txbxContent>
                      </v:textbox>
                    </v:shape>
                  </w:pict>
                </mc:Fallback>
              </mc:AlternateContent>
            </w:r>
          </w:p>
          <w:p w14:paraId="529C0B84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4772AA62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4FF4CDE" w14:textId="77777777" w:rsidR="00512881" w:rsidRPr="00DC4DC6" w:rsidRDefault="00512881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21349D45" w14:textId="77777777" w:rsidR="00512881" w:rsidRPr="00DC4DC6" w:rsidRDefault="0007225B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C4DC6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6AE6F0A8" w14:textId="77777777" w:rsidR="00512881" w:rsidRPr="00DC4DC6" w:rsidRDefault="00512881">
      <w:pPr>
        <w:spacing w:before="215" w:line="276" w:lineRule="auto"/>
        <w:ind w:right="205"/>
        <w:jc w:val="both"/>
        <w:rPr>
          <w:b/>
          <w:color w:val="000000" w:themeColor="text1"/>
          <w:lang w:eastAsia="pt-BR"/>
        </w:rPr>
      </w:pPr>
    </w:p>
    <w:p w14:paraId="38AB590A" w14:textId="77777777" w:rsidR="00512881" w:rsidRPr="00DC4DC6" w:rsidRDefault="00512881">
      <w:pPr>
        <w:spacing w:line="276" w:lineRule="auto"/>
      </w:pPr>
    </w:p>
    <w:sectPr w:rsidR="00512881" w:rsidRPr="00DC4DC6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411" w14:textId="77777777" w:rsidR="001B0EDF" w:rsidRDefault="0007225B">
      <w:r>
        <w:separator/>
      </w:r>
    </w:p>
  </w:endnote>
  <w:endnote w:type="continuationSeparator" w:id="0">
    <w:p w14:paraId="5AB232D0" w14:textId="77777777" w:rsidR="001B0EDF" w:rsidRDefault="000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C640" w14:textId="77777777" w:rsidR="008B4380" w:rsidRDefault="0007225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6373" wp14:editId="504EFED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47460630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66D55" w14:textId="77777777" w:rsidR="008B4380" w:rsidRDefault="0007225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63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E166D55" w14:textId="77777777" w:rsidR="008B4380" w:rsidRDefault="0007225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AEF79FD" w14:textId="77777777" w:rsidR="008B4380" w:rsidRDefault="00C36A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C4F" w14:textId="77777777" w:rsidR="001B0EDF" w:rsidRDefault="0007225B">
      <w:r>
        <w:rPr>
          <w:color w:val="000000"/>
        </w:rPr>
        <w:separator/>
      </w:r>
    </w:p>
  </w:footnote>
  <w:footnote w:type="continuationSeparator" w:id="0">
    <w:p w14:paraId="77866A07" w14:textId="77777777" w:rsidR="001B0EDF" w:rsidRDefault="000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64C2" w14:textId="77777777" w:rsidR="008B4380" w:rsidRPr="00DC4DC6" w:rsidRDefault="0007225B">
    <w:pPr>
      <w:pStyle w:val="Cabealho"/>
      <w:tabs>
        <w:tab w:val="left" w:pos="2880"/>
        <w:tab w:val="left" w:pos="6120"/>
        <w:tab w:val="right" w:pos="8640"/>
      </w:tabs>
      <w:ind w:left="-1134"/>
    </w:pPr>
    <w:r w:rsidRPr="00DC4D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B9F" wp14:editId="7589D759">
          <wp:simplePos x="0" y="0"/>
          <wp:positionH relativeFrom="margin">
            <wp:align>right</wp:align>
          </wp:positionH>
          <wp:positionV relativeFrom="paragraph">
            <wp:posOffset>-43177</wp:posOffset>
          </wp:positionV>
          <wp:extent cx="5573396" cy="576584"/>
          <wp:effectExtent l="0" t="0" r="8254" b="0"/>
          <wp:wrapTight wrapText="bothSides">
            <wp:wrapPolygon edited="0">
              <wp:start x="0" y="0"/>
              <wp:lineTo x="0" y="20696"/>
              <wp:lineTo x="21558" y="20696"/>
              <wp:lineTo x="21558" y="0"/>
              <wp:lineTo x="0" y="0"/>
            </wp:wrapPolygon>
          </wp:wrapTight>
          <wp:docPr id="66257974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396" cy="5765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3544"/>
      <w:gridCol w:w="4954"/>
    </w:tblGrid>
    <w:tr w:rsidR="00DC4DC6" w:rsidRPr="00DC4DC6" w14:paraId="4F0CFEAE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31F9C0B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PROTOCOLO/PROCESSO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EB208EB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1679672/2023</w:t>
          </w:r>
        </w:p>
      </w:tc>
    </w:tr>
    <w:tr w:rsidR="00DC4DC6" w:rsidRPr="00DC4DC6" w14:paraId="64652874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409334D9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INTERESSADO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6A5F484A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CAU/MT</w:t>
          </w:r>
        </w:p>
      </w:tc>
    </w:tr>
    <w:tr w:rsidR="00DC4DC6" w:rsidRPr="00DC4DC6" w14:paraId="088C09CC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7CDE7B9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ASSUNTO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513F682B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ENCAMINHAMENTO DE MEMORANDO</w:t>
          </w:r>
        </w:p>
      </w:tc>
    </w:tr>
    <w:tr w:rsidR="00DC4DC6" w:rsidRPr="00DC4DC6" w14:paraId="58EB62BF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7F609838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RELATOR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7BC96A1" w14:textId="77777777" w:rsidR="00DC4DC6" w:rsidRPr="00DC4DC6" w:rsidRDefault="00DC4DC6" w:rsidP="00DC4DC6">
          <w:pPr>
            <w:tabs>
              <w:tab w:val="left" w:pos="1418"/>
            </w:tabs>
          </w:pPr>
          <w:r w:rsidRPr="00DC4DC6">
            <w:t>ENODES SOARES FERREIRA</w:t>
          </w:r>
        </w:p>
      </w:tc>
    </w:tr>
  </w:tbl>
  <w:p w14:paraId="5176A5C5" w14:textId="22668731" w:rsidR="008B4380" w:rsidRPr="00DC4DC6" w:rsidRDefault="0007225B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</w:pPr>
    <w:r w:rsidRPr="00DC4DC6">
      <w:rPr>
        <w:rFonts w:eastAsia="Times New Roman"/>
        <w:b/>
        <w:smallCaps/>
        <w:lang w:eastAsia="pt-BR"/>
      </w:rPr>
      <w:t xml:space="preserve">DELIBERAÇÃO N.º </w:t>
    </w:r>
    <w:r w:rsidR="0007079D" w:rsidRPr="00DC4DC6">
      <w:rPr>
        <w:rFonts w:eastAsia="Times New Roman"/>
        <w:b/>
        <w:smallCaps/>
        <w:color w:val="000000"/>
        <w:lang w:eastAsia="pt-BR"/>
      </w:rPr>
      <w:t>99</w:t>
    </w:r>
    <w:r w:rsidR="00DC4DC6">
      <w:rPr>
        <w:rFonts w:eastAsia="Times New Roman"/>
        <w:b/>
        <w:smallCaps/>
        <w:color w:val="000000"/>
        <w:lang w:eastAsia="pt-BR"/>
      </w:rPr>
      <w:t>3</w:t>
    </w:r>
    <w:r w:rsidRPr="00DC4DC6">
      <w:rPr>
        <w:rFonts w:eastAsia="Times New Roman"/>
        <w:b/>
        <w:smallCaps/>
        <w:color w:val="000000"/>
        <w:lang w:eastAsia="pt-BR"/>
      </w:rPr>
      <w:t>/2023</w:t>
    </w:r>
    <w:r w:rsidRPr="00DC4DC6">
      <w:rPr>
        <w:rFonts w:eastAsia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087"/>
    <w:multiLevelType w:val="multilevel"/>
    <w:tmpl w:val="26F4D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1"/>
    <w:rsid w:val="0007079D"/>
    <w:rsid w:val="0007225B"/>
    <w:rsid w:val="001B0EDF"/>
    <w:rsid w:val="002978A4"/>
    <w:rsid w:val="00357917"/>
    <w:rsid w:val="00512881"/>
    <w:rsid w:val="0055205D"/>
    <w:rsid w:val="00585C86"/>
    <w:rsid w:val="005964CF"/>
    <w:rsid w:val="0064583E"/>
    <w:rsid w:val="00C36A0D"/>
    <w:rsid w:val="00C57913"/>
    <w:rsid w:val="00DC4DC6"/>
    <w:rsid w:val="00DD131A"/>
    <w:rsid w:val="00F21D24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447B0"/>
  <w15:docId w15:val="{7B41F0EA-8C71-4A34-AC84-11443C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2023-06-26T14:51:00Z</cp:lastPrinted>
  <dcterms:created xsi:type="dcterms:W3CDTF">2023-06-21T19:00:00Z</dcterms:created>
  <dcterms:modified xsi:type="dcterms:W3CDTF">2023-07-28T14:48:00Z</dcterms:modified>
</cp:coreProperties>
</file>