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D40B" w14:textId="7AD7F1ED" w:rsidR="00512881" w:rsidRPr="000519EF" w:rsidRDefault="0007225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19EF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022C4E">
        <w:rPr>
          <w:rFonts w:ascii="Times New Roman" w:eastAsia="Times New Roman" w:hAnsi="Times New Roman"/>
          <w:sz w:val="22"/>
          <w:szCs w:val="22"/>
          <w:lang w:eastAsia="pt-BR"/>
        </w:rPr>
        <w:t>22 de setembro</w:t>
      </w:r>
      <w:r w:rsidR="00F300A0"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>de 2023, no uso das competências que lhe conferem o ar</w:t>
      </w:r>
      <w:r w:rsidR="00DC4DC6" w:rsidRPr="000519EF">
        <w:rPr>
          <w:rFonts w:ascii="Times New Roman" w:eastAsia="Times New Roman" w:hAnsi="Times New Roman"/>
          <w:sz w:val="22"/>
          <w:szCs w:val="22"/>
          <w:lang w:eastAsia="pt-BR"/>
        </w:rPr>
        <w:t>tigo</w:t>
      </w: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 96 do Regimento Interno do CAU/MT, após análise do assunto em epígrafe, e</w:t>
      </w:r>
    </w:p>
    <w:p w14:paraId="74217BD1" w14:textId="799345C6" w:rsidR="00512881" w:rsidRPr="000519EF" w:rsidRDefault="001A21E1" w:rsidP="001A21E1">
      <w:pPr>
        <w:tabs>
          <w:tab w:val="left" w:pos="5384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14:paraId="1965B8A7" w14:textId="2C4C4DCB" w:rsidR="00DC4DC6" w:rsidRPr="000519EF" w:rsidRDefault="0007225B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DC4DC6" w:rsidRPr="000519EF">
        <w:rPr>
          <w:rFonts w:ascii="Times New Roman" w:eastAsia="Times New Roman" w:hAnsi="Times New Roman"/>
          <w:sz w:val="22"/>
          <w:szCs w:val="22"/>
          <w:lang w:eastAsia="pt-BR"/>
        </w:rPr>
        <w:t>o encaminhamento do</w:t>
      </w:r>
      <w:r w:rsidR="00DC4DC6" w:rsidRPr="000519EF">
        <w:rPr>
          <w:rFonts w:ascii="Times New Roman" w:hAnsi="Times New Roman"/>
          <w:sz w:val="22"/>
          <w:szCs w:val="22"/>
        </w:rPr>
        <w:t xml:space="preserve"> Memorando </w:t>
      </w:r>
      <w:r w:rsidR="00456068" w:rsidRPr="000519EF">
        <w:rPr>
          <w:rFonts w:ascii="Times New Roman" w:hAnsi="Times New Roman"/>
          <w:sz w:val="22"/>
          <w:szCs w:val="22"/>
        </w:rPr>
        <w:t xml:space="preserve">09.02.001/FISC </w:t>
      </w:r>
      <w:r w:rsidR="00DC4DC6" w:rsidRPr="000519EF">
        <w:rPr>
          <w:rFonts w:ascii="Times New Roman" w:hAnsi="Times New Roman"/>
          <w:sz w:val="22"/>
          <w:szCs w:val="22"/>
        </w:rPr>
        <w:t>enviado pel</w:t>
      </w:r>
      <w:r w:rsidR="001A21E1">
        <w:rPr>
          <w:rFonts w:ascii="Times New Roman" w:hAnsi="Times New Roman"/>
          <w:sz w:val="22"/>
          <w:szCs w:val="22"/>
        </w:rPr>
        <w:t xml:space="preserve">o </w:t>
      </w:r>
      <w:r w:rsidR="00456068" w:rsidRPr="000519EF">
        <w:rPr>
          <w:rFonts w:ascii="Times New Roman" w:hAnsi="Times New Roman"/>
          <w:sz w:val="22"/>
          <w:szCs w:val="22"/>
        </w:rPr>
        <w:t>Setor de Fiscalização em 09 de fevereiro de 2023</w:t>
      </w:r>
      <w:r w:rsidR="00DC4DC6" w:rsidRPr="000519EF">
        <w:rPr>
          <w:rFonts w:ascii="Times New Roman" w:hAnsi="Times New Roman"/>
          <w:sz w:val="22"/>
          <w:szCs w:val="22"/>
        </w:rPr>
        <w:t xml:space="preserve">, </w:t>
      </w:r>
      <w:r w:rsidR="00456068" w:rsidRPr="000519EF">
        <w:rPr>
          <w:rFonts w:ascii="Times New Roman" w:hAnsi="Times New Roman"/>
          <w:sz w:val="22"/>
          <w:szCs w:val="22"/>
        </w:rPr>
        <w:t xml:space="preserve">o qual versa sobre </w:t>
      </w:r>
      <w:r w:rsidR="00456068" w:rsidRPr="000519EF">
        <w:rPr>
          <w:rFonts w:ascii="Times New Roman" w:hAnsi="Times New Roman"/>
          <w:i/>
          <w:iCs/>
          <w:sz w:val="22"/>
          <w:szCs w:val="22"/>
        </w:rPr>
        <w:t>“Dúvida referente à aplicabilidade da reincidência infracional para os casos de “Ausência de RRT”, bem como quais procedimentos adotar em alguns casos específicos.”</w:t>
      </w:r>
    </w:p>
    <w:p w14:paraId="35B5CBAC" w14:textId="77777777" w:rsidR="00512881" w:rsidRPr="000519EF" w:rsidRDefault="00512881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18825F6" w14:textId="2603FEE6" w:rsidR="00456068" w:rsidRPr="000519EF" w:rsidRDefault="0007225B" w:rsidP="00456068">
      <w:pPr>
        <w:pStyle w:val="NormalWeb"/>
        <w:spacing w:line="276" w:lineRule="auto"/>
        <w:jc w:val="both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DC4DC6"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456068" w:rsidRPr="000519EF">
        <w:rPr>
          <w:rFonts w:ascii="Times New Roman" w:hAnsi="Times New Roman"/>
          <w:color w:val="000000" w:themeColor="text1"/>
          <w:sz w:val="22"/>
          <w:szCs w:val="22"/>
        </w:rPr>
        <w:t xml:space="preserve">artigo 45 da Lei nº. 12.378/2010 dispõe que: </w:t>
      </w:r>
      <w:r w:rsidR="00456068" w:rsidRPr="000519EF">
        <w:rPr>
          <w:rFonts w:ascii="Times New Roman" w:hAnsi="Times New Roman"/>
          <w:i/>
          <w:iCs/>
          <w:color w:val="000000" w:themeColor="text1"/>
          <w:sz w:val="22"/>
          <w:szCs w:val="22"/>
        </w:rPr>
        <w:t>“</w:t>
      </w:r>
      <w:r w:rsidR="00456068" w:rsidRPr="000519EF">
        <w:rPr>
          <w:rFonts w:ascii="Times New Roman" w:hAnsi="Times New Roman"/>
          <w:i/>
          <w:iCs/>
          <w:color w:val="000000"/>
          <w:sz w:val="22"/>
          <w:szCs w:val="22"/>
        </w:rPr>
        <w:t>Toda realização de trabalho de competência privativa ou de atuação compartilhadas com outras profissões regulamentadas será objeto de Registro de Responsabilidade Técnica - RRT</w:t>
      </w:r>
      <w:r w:rsidR="00456068" w:rsidRPr="000519EF">
        <w:rPr>
          <w:rFonts w:ascii="Times New Roman" w:hAnsi="Times New Roman"/>
          <w:i/>
          <w:iCs/>
          <w:color w:val="000000" w:themeColor="text1"/>
          <w:sz w:val="22"/>
          <w:szCs w:val="22"/>
        </w:rPr>
        <w:t>”.</w:t>
      </w:r>
    </w:p>
    <w:p w14:paraId="52F353A4" w14:textId="77777777" w:rsidR="00456068" w:rsidRPr="000519EF" w:rsidRDefault="00456068" w:rsidP="00456068">
      <w:pPr>
        <w:pStyle w:val="NormalWeb"/>
        <w:spacing w:line="276" w:lineRule="auto"/>
        <w:jc w:val="both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p w14:paraId="39C90C70" w14:textId="24B9855B" w:rsidR="00456068" w:rsidRPr="000519EF" w:rsidRDefault="00456068" w:rsidP="00456068">
      <w:pPr>
        <w:pStyle w:val="NormalWeb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19EF">
        <w:rPr>
          <w:rFonts w:ascii="Times New Roman" w:hAnsi="Times New Roman"/>
          <w:color w:val="000000" w:themeColor="text1"/>
          <w:sz w:val="22"/>
          <w:szCs w:val="22"/>
        </w:rPr>
        <w:t>Considerando que o artigo 35, inciso IV, da Resolução CAU/BR nº. 022/2012 dispõe que será punido com multa equivalente a 300% (trezentos por cento) do valor vigente da taxa do RRT, o arquiteto e urbanista com registro no CAU regular que tiver exercendo atividade fiscalizada sem ter feito o devido RRT.</w:t>
      </w:r>
    </w:p>
    <w:p w14:paraId="5DB904B0" w14:textId="77777777" w:rsidR="00E7050E" w:rsidRPr="000519EF" w:rsidRDefault="00E7050E" w:rsidP="00456068">
      <w:pPr>
        <w:pStyle w:val="NormalWeb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74623DF" w14:textId="21A81C0A" w:rsidR="00E7050E" w:rsidRPr="000519EF" w:rsidRDefault="00E7050E" w:rsidP="00456068">
      <w:pPr>
        <w:pStyle w:val="NormalWeb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19EF">
        <w:rPr>
          <w:rFonts w:ascii="Times New Roman" w:hAnsi="Times New Roman"/>
          <w:color w:val="000000" w:themeColor="text1"/>
          <w:sz w:val="22"/>
          <w:szCs w:val="22"/>
        </w:rPr>
        <w:t>Considerando a redação do artigo 44 da Resolução CAU/BR nº. 198/2020, que expõe que a forma de cálculo para definição do valor da multa das infrações relativas à ausência de RRT possuem seu valor definido pelo artigo 50 da Lei nº. 12.378/2010.</w:t>
      </w:r>
    </w:p>
    <w:p w14:paraId="7C079DB7" w14:textId="77777777" w:rsidR="00E7050E" w:rsidRPr="000519EF" w:rsidRDefault="00E7050E" w:rsidP="00456068">
      <w:pPr>
        <w:pStyle w:val="NormalWeb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DD3B0D5" w14:textId="494876EF" w:rsidR="00DA2E1B" w:rsidRPr="000519EF" w:rsidRDefault="00DA2E1B" w:rsidP="00456068">
      <w:pPr>
        <w:pStyle w:val="NormalWeb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19EF">
        <w:rPr>
          <w:rFonts w:ascii="Times New Roman" w:hAnsi="Times New Roman"/>
          <w:color w:val="000000" w:themeColor="text1"/>
          <w:sz w:val="22"/>
          <w:szCs w:val="22"/>
        </w:rPr>
        <w:t>Considerando o teor do artigo 50 da Lei nº. 12.378/2010, ao dispor que a falta do RRT sujeitará o profissional ou a empresa responsável ao pagamento de multa de 300% (trezentos por cento) sobre o valor da Taxa de RRT não paga corrigida, a partir da autuação, com base na variação da Taxa SELIC, acumulada mensalmente, até o último dia do mês anterior ao da devolução dos recursos, acrescido de 1% (um por cento) no mês de efetivação do pagamento, sem o prejuízo da responsabilização pessoal pela violação ética e da obrigatoriedade da paralisação do trabalho até a regularização.</w:t>
      </w:r>
    </w:p>
    <w:p w14:paraId="6581B6BB" w14:textId="77777777" w:rsidR="00456068" w:rsidRPr="000519EF" w:rsidRDefault="00456068" w:rsidP="00456068">
      <w:pPr>
        <w:pStyle w:val="NormalWeb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DC8BEC5" w14:textId="73389A69" w:rsidR="00456068" w:rsidRPr="000519EF" w:rsidRDefault="00456068" w:rsidP="00456068">
      <w:pPr>
        <w:pStyle w:val="NormalWeb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19EF">
        <w:rPr>
          <w:rFonts w:ascii="Times New Roman" w:hAnsi="Times New Roman"/>
          <w:color w:val="000000" w:themeColor="text1"/>
          <w:sz w:val="22"/>
          <w:szCs w:val="22"/>
        </w:rPr>
        <w:t>Considerando que o artigo 19, inciso II, da Resolução CAU/BR nº. 91/2014 dispõe que o requerimento de RRT Extemporâneo solicitado pelo profissional a partir de auto de infração, lavrado pela fiscalização do CAU/UF competente ficará condicionado ao pagamento prévio de multa de 300% (trezentos por cento) do valor vigente da taxa de RRT.</w:t>
      </w:r>
    </w:p>
    <w:p w14:paraId="06C93F25" w14:textId="77777777" w:rsidR="00456068" w:rsidRPr="000519EF" w:rsidRDefault="00456068" w:rsidP="00DC4DC6">
      <w:pPr>
        <w:pStyle w:val="NormalWeb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A809E49" w14:textId="03B6CDCA" w:rsidR="00DC4DC6" w:rsidRPr="000519EF" w:rsidRDefault="00DC4DC6" w:rsidP="00DC4DC6">
      <w:pPr>
        <w:pStyle w:val="NormalWeb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19EF">
        <w:rPr>
          <w:rFonts w:ascii="Times New Roman" w:hAnsi="Times New Roman"/>
          <w:sz w:val="22"/>
          <w:szCs w:val="22"/>
        </w:rPr>
        <w:t xml:space="preserve">Considerando o relatório e voto fundamentado do Conselheiro </w:t>
      </w:r>
      <w:r w:rsidR="00456068" w:rsidRPr="000519EF">
        <w:rPr>
          <w:rFonts w:ascii="Times New Roman" w:hAnsi="Times New Roman"/>
          <w:sz w:val="22"/>
          <w:szCs w:val="22"/>
        </w:rPr>
        <w:t xml:space="preserve">Thiago Rafael </w:t>
      </w:r>
      <w:proofErr w:type="spellStart"/>
      <w:r w:rsidR="00456068" w:rsidRPr="000519EF">
        <w:rPr>
          <w:rFonts w:ascii="Times New Roman" w:hAnsi="Times New Roman"/>
          <w:sz w:val="22"/>
          <w:szCs w:val="22"/>
        </w:rPr>
        <w:t>Pandini</w:t>
      </w:r>
      <w:proofErr w:type="spellEnd"/>
      <w:r w:rsidR="00456068" w:rsidRPr="000519EF">
        <w:rPr>
          <w:rFonts w:ascii="Times New Roman" w:hAnsi="Times New Roman"/>
          <w:sz w:val="22"/>
          <w:szCs w:val="22"/>
        </w:rPr>
        <w:t>.</w:t>
      </w:r>
    </w:p>
    <w:p w14:paraId="7FC1367F" w14:textId="77777777" w:rsidR="00512881" w:rsidRPr="000519EF" w:rsidRDefault="0007225B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519EF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DELIBEROU:</w:t>
      </w:r>
    </w:p>
    <w:p w14:paraId="3254B28E" w14:textId="77777777" w:rsidR="00512881" w:rsidRPr="000519EF" w:rsidRDefault="0051288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652B458" w14:textId="2BAF2302" w:rsidR="00512881" w:rsidRPr="000519EF" w:rsidRDefault="0007225B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19EF">
        <w:rPr>
          <w:rFonts w:ascii="Times New Roman" w:hAnsi="Times New Roman"/>
          <w:sz w:val="22"/>
          <w:szCs w:val="22"/>
        </w:rPr>
        <w:t xml:space="preserve">Aprovar, por unanimidade, </w:t>
      </w:r>
      <w:r w:rsidR="00456068" w:rsidRPr="000519EF">
        <w:rPr>
          <w:rFonts w:ascii="Times New Roman" w:hAnsi="Times New Roman"/>
          <w:sz w:val="22"/>
          <w:szCs w:val="22"/>
        </w:rPr>
        <w:t xml:space="preserve">pela não aplicabilidade da reincidência infracional para os casos de “Ausência de RRT”, ou seja, </w:t>
      </w:r>
      <w:r w:rsidR="00C5644C">
        <w:rPr>
          <w:rFonts w:ascii="Times New Roman" w:hAnsi="Times New Roman"/>
          <w:sz w:val="22"/>
          <w:szCs w:val="22"/>
        </w:rPr>
        <w:t xml:space="preserve">estabelecer que </w:t>
      </w:r>
      <w:r w:rsidR="00456068" w:rsidRPr="000519EF">
        <w:rPr>
          <w:rFonts w:ascii="Times New Roman" w:hAnsi="Times New Roman"/>
          <w:sz w:val="22"/>
          <w:szCs w:val="22"/>
        </w:rPr>
        <w:t>a única multa a ser aplicada é aquela vinculada ao auto de infração</w:t>
      </w:r>
      <w:r w:rsidR="000C4848">
        <w:rPr>
          <w:rFonts w:ascii="Times New Roman" w:hAnsi="Times New Roman"/>
          <w:sz w:val="22"/>
          <w:szCs w:val="22"/>
        </w:rPr>
        <w:t>, inibindo assim</w:t>
      </w:r>
      <w:r w:rsidR="00C5644C">
        <w:rPr>
          <w:rFonts w:ascii="Times New Roman" w:hAnsi="Times New Roman"/>
          <w:sz w:val="22"/>
          <w:szCs w:val="22"/>
        </w:rPr>
        <w:t xml:space="preserve"> </w:t>
      </w:r>
      <w:r w:rsidR="00456068" w:rsidRPr="000519EF">
        <w:rPr>
          <w:rFonts w:ascii="Times New Roman" w:hAnsi="Times New Roman"/>
          <w:sz w:val="22"/>
          <w:szCs w:val="22"/>
        </w:rPr>
        <w:t>a aplicação de duas multas para o mesmo fato gerador dentro do mesmo processo, sob pena de ocorrência da dupla penalização;</w:t>
      </w:r>
    </w:p>
    <w:p w14:paraId="5DDD8E1A" w14:textId="77777777" w:rsidR="00512881" w:rsidRPr="000519EF" w:rsidRDefault="00512881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4688593" w14:textId="7DA5197C" w:rsidR="00456068" w:rsidRPr="000519EF" w:rsidRDefault="00456068" w:rsidP="00456068">
      <w:pPr>
        <w:pStyle w:val="PargrafodaLista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19EF">
        <w:rPr>
          <w:rFonts w:ascii="Times New Roman" w:hAnsi="Times New Roman"/>
          <w:sz w:val="22"/>
          <w:szCs w:val="22"/>
        </w:rPr>
        <w:t>Seja observado que a aplicabilidade da reincidência nos casos de ausência de RRT deve se limitar nas situações em que a obra prossegue em execução e o processo de cobrança da primeira infração já tiver sido devidamente finalizado</w:t>
      </w:r>
      <w:r w:rsidR="00F715FD">
        <w:rPr>
          <w:rFonts w:ascii="Times New Roman" w:hAnsi="Times New Roman"/>
          <w:sz w:val="22"/>
          <w:szCs w:val="22"/>
        </w:rPr>
        <w:t xml:space="preserve"> (artigo 51, Resolução CAU/BR nº. 198/2020)</w:t>
      </w:r>
      <w:r w:rsidRPr="000519EF">
        <w:rPr>
          <w:rFonts w:ascii="Times New Roman" w:hAnsi="Times New Roman"/>
          <w:sz w:val="22"/>
          <w:szCs w:val="22"/>
        </w:rPr>
        <w:t>;</w:t>
      </w:r>
    </w:p>
    <w:p w14:paraId="48D94E44" w14:textId="77777777" w:rsidR="00456068" w:rsidRPr="000519EF" w:rsidRDefault="00456068" w:rsidP="00456068">
      <w:pPr>
        <w:pStyle w:val="PargrafodaLista"/>
        <w:rPr>
          <w:rFonts w:ascii="Times New Roman" w:hAnsi="Times New Roman"/>
          <w:sz w:val="22"/>
          <w:szCs w:val="22"/>
        </w:rPr>
      </w:pPr>
    </w:p>
    <w:p w14:paraId="17A15849" w14:textId="445A39CF" w:rsidR="00512881" w:rsidRPr="000519EF" w:rsidRDefault="0007225B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19EF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23C49E05" w14:textId="77777777" w:rsidR="00512881" w:rsidRPr="000519EF" w:rsidRDefault="00512881">
      <w:pPr>
        <w:tabs>
          <w:tab w:val="left" w:pos="1418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0C7624" w14:textId="78B19BF6" w:rsidR="00512881" w:rsidRPr="000519EF" w:rsidRDefault="0007225B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04</w:t>
      </w:r>
      <w:r w:rsidRPr="000519E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Alexsandro Reis, </w:t>
      </w:r>
      <w:r w:rsidR="0007079D"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07079D"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07079D"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456068"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Elisangela Fernandes </w:t>
      </w:r>
      <w:proofErr w:type="spellStart"/>
      <w:r w:rsidR="00456068"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Thiago Rafael </w:t>
      </w:r>
      <w:proofErr w:type="spellStart"/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519E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519E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0519E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00 ausência</w:t>
      </w:r>
      <w:r w:rsidR="000C4848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s</w:t>
      </w:r>
      <w:r w:rsidRPr="000519E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.</w:t>
      </w:r>
    </w:p>
    <w:p w14:paraId="031CF50F" w14:textId="77777777" w:rsidR="00512881" w:rsidRPr="000519EF" w:rsidRDefault="00512881" w:rsidP="000519EF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684B1E65" w14:textId="77777777" w:rsidR="00DA2E1B" w:rsidRPr="000519EF" w:rsidRDefault="00DA2E1B" w:rsidP="000519EF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1BC497B4" w14:textId="77777777" w:rsidR="00E7050E" w:rsidRPr="000519EF" w:rsidRDefault="00E7050E" w:rsidP="000519EF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07225B" w:rsidRPr="000519EF" w14:paraId="7A821184" w14:textId="77777777">
        <w:tc>
          <w:tcPr>
            <w:tcW w:w="5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28E" w14:textId="28FC8D34" w:rsidR="00512881" w:rsidRPr="000519EF" w:rsidRDefault="0007079D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2370CF50" w14:textId="7BC1DC2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</w:p>
          <w:p w14:paraId="39CE0389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EE1B58A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7A03863" w14:textId="77777777" w:rsidR="00DA2E1B" w:rsidRPr="000519EF" w:rsidRDefault="00DA2E1B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7CDB2AC" w14:textId="1E6B1646" w:rsidR="0007079D" w:rsidRPr="000519EF" w:rsidRDefault="00456068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594C5137" w14:textId="7C9C46C7" w:rsidR="0007079D" w:rsidRPr="000519EF" w:rsidRDefault="00456068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Coordenadora-adjunta</w:t>
            </w:r>
          </w:p>
          <w:p w14:paraId="086E8CD1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DC85E04" w14:textId="77777777" w:rsidR="00DA2E1B" w:rsidRPr="000519EF" w:rsidRDefault="00DA2E1B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0CA3827" w14:textId="77777777" w:rsidR="00DA2E1B" w:rsidRPr="000519EF" w:rsidRDefault="00DA2E1B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47099E2" w14:textId="7777777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1ECC6E10" w14:textId="7777777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23A71223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2F2E7D2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0A04C96" w14:textId="77777777" w:rsidR="00DA2E1B" w:rsidRPr="000519EF" w:rsidRDefault="00DA2E1B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BB43FC1" w14:textId="7777777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6CFE8822" w14:textId="7777777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62F4" w14:textId="6BA8DCED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</w:t>
            </w:r>
          </w:p>
          <w:p w14:paraId="12162C58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7AFEFA0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D3308B2" w14:textId="77777777" w:rsidR="00DA2E1B" w:rsidRPr="000519EF" w:rsidRDefault="00DA2E1B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053439F" w14:textId="77777777" w:rsidR="00E7050E" w:rsidRPr="000519EF" w:rsidRDefault="00E7050E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CC3EF26" w14:textId="77777777" w:rsidR="000519EF" w:rsidRPr="000519EF" w:rsidRDefault="000519EF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</w:t>
            </w:r>
          </w:p>
          <w:p w14:paraId="65532440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1A29DBE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5327459" w14:textId="77777777" w:rsidR="00DA2E1B" w:rsidRPr="000519EF" w:rsidRDefault="0007225B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</w:t>
            </w:r>
          </w:p>
          <w:p w14:paraId="52581CF6" w14:textId="17122C91" w:rsidR="00512881" w:rsidRPr="000519EF" w:rsidRDefault="0007225B" w:rsidP="000519EF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</w:t>
            </w:r>
          </w:p>
          <w:p w14:paraId="63BA6277" w14:textId="77777777" w:rsidR="000519EF" w:rsidRPr="000519EF" w:rsidRDefault="000519EF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</w:t>
            </w:r>
          </w:p>
          <w:p w14:paraId="74A3FFDF" w14:textId="77777777" w:rsidR="00512881" w:rsidRPr="000519EF" w:rsidRDefault="0007225B" w:rsidP="000519E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0839FCA" wp14:editId="7495C2F9">
                      <wp:simplePos x="0" y="0"/>
                      <wp:positionH relativeFrom="column">
                        <wp:posOffset>1059817</wp:posOffset>
                      </wp:positionH>
                      <wp:positionV relativeFrom="paragraph">
                        <wp:posOffset>151762</wp:posOffset>
                      </wp:positionV>
                      <wp:extent cx="971550" cy="280035"/>
                      <wp:effectExtent l="0" t="0" r="0" b="5715"/>
                      <wp:wrapNone/>
                      <wp:docPr id="1572645660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192F2DF" w14:textId="77777777" w:rsidR="00512881" w:rsidRDefault="00512881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20839F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" stroked="f">
                      <v:textbox style="mso-fit-shape-to-text:t">
                        <w:txbxContent>
                          <w:p w14:paraId="0192F2DF" w14:textId="77777777" w:rsidR="00512881" w:rsidRDefault="00512881"/>
                        </w:txbxContent>
                      </v:textbox>
                    </v:shape>
                  </w:pict>
                </mc:Fallback>
              </mc:AlternateContent>
            </w:r>
          </w:p>
          <w:p w14:paraId="529C0B84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C45623E" w14:textId="77777777" w:rsidR="00DA2E1B" w:rsidRPr="000519EF" w:rsidRDefault="00DA2E1B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4FF4CDE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92AC5DA" w14:textId="1F36FE41" w:rsidR="000519EF" w:rsidRPr="000519EF" w:rsidRDefault="000519EF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</w:t>
            </w:r>
          </w:p>
          <w:p w14:paraId="21349D45" w14:textId="00604B06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</w:tr>
    </w:tbl>
    <w:p w14:paraId="38AB590A" w14:textId="77777777" w:rsidR="00512881" w:rsidRPr="000519EF" w:rsidRDefault="00512881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512881" w:rsidRPr="000519EF">
      <w:headerReference w:type="default" r:id="rId7"/>
      <w:footerReference w:type="default" r:id="rId8"/>
      <w:pgSz w:w="11900" w:h="16840"/>
      <w:pgMar w:top="1701" w:right="1418" w:bottom="1418" w:left="1701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411" w14:textId="77777777" w:rsidR="001B0EDF" w:rsidRDefault="0007225B">
      <w:r>
        <w:separator/>
      </w:r>
    </w:p>
  </w:endnote>
  <w:endnote w:type="continuationSeparator" w:id="0">
    <w:p w14:paraId="5AB232D0" w14:textId="77777777" w:rsidR="001B0EDF" w:rsidRDefault="000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C640" w14:textId="77777777" w:rsidR="00296D30" w:rsidRDefault="0007225B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176373" wp14:editId="504EFED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47460630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E166D55" w14:textId="77777777" w:rsidR="00296D30" w:rsidRDefault="0007225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4417637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E166D55" w14:textId="77777777" w:rsidR="00296D30" w:rsidRDefault="0007225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3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3AEF79FD" w14:textId="77777777" w:rsidR="00296D30" w:rsidRDefault="00296D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CC4F" w14:textId="77777777" w:rsidR="001B0EDF" w:rsidRDefault="0007225B">
      <w:r>
        <w:rPr>
          <w:color w:val="000000"/>
        </w:rPr>
        <w:separator/>
      </w:r>
    </w:p>
  </w:footnote>
  <w:footnote w:type="continuationSeparator" w:id="0">
    <w:p w14:paraId="77866A07" w14:textId="77777777" w:rsidR="001B0EDF" w:rsidRDefault="0007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64C2" w14:textId="77777777" w:rsidR="00296D30" w:rsidRPr="00DC4DC6" w:rsidRDefault="0007225B">
    <w:pPr>
      <w:pStyle w:val="Cabealho"/>
      <w:tabs>
        <w:tab w:val="left" w:pos="2880"/>
        <w:tab w:val="left" w:pos="6120"/>
        <w:tab w:val="right" w:pos="8640"/>
      </w:tabs>
      <w:ind w:left="-1134"/>
    </w:pPr>
    <w:r w:rsidRPr="00DC4D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AA5B9F" wp14:editId="7589D759">
          <wp:simplePos x="0" y="0"/>
          <wp:positionH relativeFrom="margin">
            <wp:align>right</wp:align>
          </wp:positionH>
          <wp:positionV relativeFrom="paragraph">
            <wp:posOffset>-43177</wp:posOffset>
          </wp:positionV>
          <wp:extent cx="5573396" cy="576584"/>
          <wp:effectExtent l="0" t="0" r="8254" b="0"/>
          <wp:wrapTight wrapText="bothSides">
            <wp:wrapPolygon edited="0">
              <wp:start x="0" y="0"/>
              <wp:lineTo x="0" y="20696"/>
              <wp:lineTo x="21558" y="20696"/>
              <wp:lineTo x="21558" y="0"/>
              <wp:lineTo x="0" y="0"/>
            </wp:wrapPolygon>
          </wp:wrapTight>
          <wp:docPr id="662579744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3396" cy="5765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5" w:color="auto" w:fill="auto"/>
      <w:tblLook w:val="04A0" w:firstRow="1" w:lastRow="0" w:firstColumn="1" w:lastColumn="0" w:noHBand="0" w:noVBand="1"/>
    </w:tblPr>
    <w:tblGrid>
      <w:gridCol w:w="3544"/>
      <w:gridCol w:w="4954"/>
    </w:tblGrid>
    <w:tr w:rsidR="00456068" w:rsidRPr="000519EF" w14:paraId="4F0CFEAE" w14:textId="77777777" w:rsidTr="002A5641">
      <w:trPr>
        <w:trHeight w:val="460"/>
      </w:trPr>
      <w:tc>
        <w:tcPr>
          <w:tcW w:w="3544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pct5" w:color="auto" w:fill="auto"/>
          <w:vAlign w:val="center"/>
        </w:tcPr>
        <w:p w14:paraId="131F9C0B" w14:textId="41C0178D" w:rsidR="00456068" w:rsidRPr="000519EF" w:rsidRDefault="00456068" w:rsidP="00456068">
          <w:pPr>
            <w:tabs>
              <w:tab w:val="left" w:pos="1418"/>
            </w:tabs>
            <w:rPr>
              <w:rFonts w:ascii="Times New Roman" w:hAnsi="Times New Roman"/>
            </w:rPr>
          </w:pPr>
          <w:r w:rsidRPr="000519EF">
            <w:rPr>
              <w:rFonts w:ascii="Times New Roman" w:hAnsi="Times New Roman"/>
            </w:rPr>
            <w:t>PROTOCOLO/PROCESSO</w:t>
          </w:r>
        </w:p>
      </w:tc>
      <w:tc>
        <w:tcPr>
          <w:tcW w:w="495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3EB208EB" w14:textId="19710CC4" w:rsidR="00456068" w:rsidRPr="000519EF" w:rsidRDefault="00456068" w:rsidP="00456068">
          <w:pPr>
            <w:tabs>
              <w:tab w:val="left" w:pos="1418"/>
            </w:tabs>
            <w:rPr>
              <w:rFonts w:ascii="Times New Roman" w:hAnsi="Times New Roman"/>
            </w:rPr>
          </w:pPr>
          <w:r w:rsidRPr="000519EF">
            <w:rPr>
              <w:rFonts w:ascii="Times New Roman" w:hAnsi="Times New Roman"/>
            </w:rPr>
            <w:t>1701174/2023</w:t>
          </w:r>
        </w:p>
      </w:tc>
    </w:tr>
    <w:tr w:rsidR="00456068" w:rsidRPr="000519EF" w14:paraId="64652874" w14:textId="77777777" w:rsidTr="002A5641">
      <w:trPr>
        <w:trHeight w:val="460"/>
      </w:trPr>
      <w:tc>
        <w:tcPr>
          <w:tcW w:w="3544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pct5" w:color="auto" w:fill="auto"/>
          <w:vAlign w:val="center"/>
        </w:tcPr>
        <w:p w14:paraId="409334D9" w14:textId="1D9710EB" w:rsidR="00456068" w:rsidRPr="000519EF" w:rsidRDefault="00456068" w:rsidP="00456068">
          <w:pPr>
            <w:tabs>
              <w:tab w:val="left" w:pos="1418"/>
            </w:tabs>
            <w:rPr>
              <w:rFonts w:ascii="Times New Roman" w:hAnsi="Times New Roman"/>
            </w:rPr>
          </w:pPr>
          <w:r w:rsidRPr="000519EF">
            <w:rPr>
              <w:rFonts w:ascii="Times New Roman" w:hAnsi="Times New Roman"/>
            </w:rPr>
            <w:t>INTERESSADO</w:t>
          </w:r>
        </w:p>
      </w:tc>
      <w:tc>
        <w:tcPr>
          <w:tcW w:w="495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6A5F484A" w14:textId="4DD4D4E0" w:rsidR="00456068" w:rsidRPr="000519EF" w:rsidRDefault="00456068" w:rsidP="00456068">
          <w:pPr>
            <w:tabs>
              <w:tab w:val="left" w:pos="1418"/>
            </w:tabs>
            <w:rPr>
              <w:rFonts w:ascii="Times New Roman" w:hAnsi="Times New Roman"/>
            </w:rPr>
          </w:pPr>
          <w:r w:rsidRPr="000519EF">
            <w:rPr>
              <w:rFonts w:ascii="Times New Roman" w:hAnsi="Times New Roman"/>
            </w:rPr>
            <w:t>CAU/MT</w:t>
          </w:r>
        </w:p>
      </w:tc>
    </w:tr>
    <w:tr w:rsidR="00456068" w:rsidRPr="000519EF" w14:paraId="088C09CC" w14:textId="77777777" w:rsidTr="002A5641">
      <w:trPr>
        <w:trHeight w:val="460"/>
      </w:trPr>
      <w:tc>
        <w:tcPr>
          <w:tcW w:w="3544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pct5" w:color="auto" w:fill="auto"/>
          <w:vAlign w:val="center"/>
        </w:tcPr>
        <w:p w14:paraId="17CDE7B9" w14:textId="46D449C4" w:rsidR="00456068" w:rsidRPr="000519EF" w:rsidRDefault="00456068" w:rsidP="00456068">
          <w:pPr>
            <w:tabs>
              <w:tab w:val="left" w:pos="1418"/>
            </w:tabs>
            <w:rPr>
              <w:rFonts w:ascii="Times New Roman" w:hAnsi="Times New Roman"/>
            </w:rPr>
          </w:pPr>
          <w:r w:rsidRPr="000519EF">
            <w:rPr>
              <w:rFonts w:ascii="Times New Roman" w:hAnsi="Times New Roman"/>
            </w:rPr>
            <w:t>ASSUNTO</w:t>
          </w:r>
        </w:p>
      </w:tc>
      <w:tc>
        <w:tcPr>
          <w:tcW w:w="495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513F682B" w14:textId="0AD80465" w:rsidR="00456068" w:rsidRPr="000519EF" w:rsidRDefault="00456068" w:rsidP="00456068">
          <w:pPr>
            <w:tabs>
              <w:tab w:val="left" w:pos="1418"/>
            </w:tabs>
            <w:rPr>
              <w:rFonts w:ascii="Times New Roman" w:hAnsi="Times New Roman"/>
            </w:rPr>
          </w:pPr>
          <w:r w:rsidRPr="000519EF">
            <w:rPr>
              <w:rFonts w:ascii="Times New Roman" w:hAnsi="Times New Roman"/>
            </w:rPr>
            <w:t>ENCAMINHAMENTO DE MEMORANDO</w:t>
          </w:r>
        </w:p>
      </w:tc>
    </w:tr>
    <w:tr w:rsidR="00456068" w:rsidRPr="000519EF" w14:paraId="58EB62BF" w14:textId="77777777" w:rsidTr="002A5641">
      <w:trPr>
        <w:trHeight w:val="460"/>
      </w:trPr>
      <w:tc>
        <w:tcPr>
          <w:tcW w:w="3544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pct5" w:color="auto" w:fill="auto"/>
          <w:vAlign w:val="center"/>
        </w:tcPr>
        <w:p w14:paraId="7F609838" w14:textId="13D03F46" w:rsidR="00456068" w:rsidRPr="000519EF" w:rsidRDefault="00456068" w:rsidP="00456068">
          <w:pPr>
            <w:tabs>
              <w:tab w:val="left" w:pos="1418"/>
            </w:tabs>
            <w:rPr>
              <w:rFonts w:ascii="Times New Roman" w:hAnsi="Times New Roman"/>
            </w:rPr>
          </w:pPr>
          <w:r w:rsidRPr="000519EF">
            <w:rPr>
              <w:rFonts w:ascii="Times New Roman" w:hAnsi="Times New Roman"/>
            </w:rPr>
            <w:t>RELATOR</w:t>
          </w:r>
        </w:p>
      </w:tc>
      <w:tc>
        <w:tcPr>
          <w:tcW w:w="495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37BC96A1" w14:textId="3416620E" w:rsidR="00456068" w:rsidRPr="000519EF" w:rsidRDefault="00456068" w:rsidP="00456068">
          <w:pPr>
            <w:tabs>
              <w:tab w:val="left" w:pos="1418"/>
            </w:tabs>
            <w:rPr>
              <w:rFonts w:ascii="Times New Roman" w:hAnsi="Times New Roman"/>
            </w:rPr>
          </w:pPr>
          <w:r w:rsidRPr="000519EF">
            <w:rPr>
              <w:rFonts w:ascii="Times New Roman" w:hAnsi="Times New Roman"/>
            </w:rPr>
            <w:t>THIAGO RAFAEL PANDINI</w:t>
          </w:r>
        </w:p>
      </w:tc>
    </w:tr>
  </w:tbl>
  <w:p w14:paraId="5176A5C5" w14:textId="17EE470A" w:rsidR="00296D30" w:rsidRPr="000519EF" w:rsidRDefault="0007225B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0519EF">
      <w:rPr>
        <w:rFonts w:ascii="Times New Roman" w:eastAsia="Times New Roman" w:hAnsi="Times New Roman"/>
        <w:b/>
        <w:smallCaps/>
        <w:lang w:eastAsia="pt-BR"/>
      </w:rPr>
      <w:t xml:space="preserve">DELIBERAÇÃO N.º </w:t>
    </w:r>
    <w:r w:rsidR="00022C4E">
      <w:rPr>
        <w:rFonts w:ascii="Times New Roman" w:eastAsia="Times New Roman" w:hAnsi="Times New Roman"/>
        <w:b/>
        <w:smallCaps/>
        <w:color w:val="000000"/>
        <w:lang w:eastAsia="pt-BR"/>
      </w:rPr>
      <w:t>100</w:t>
    </w:r>
    <w:r w:rsidR="00D56466">
      <w:rPr>
        <w:rFonts w:ascii="Times New Roman" w:eastAsia="Times New Roman" w:hAnsi="Times New Roman"/>
        <w:b/>
        <w:smallCaps/>
        <w:color w:val="000000"/>
        <w:lang w:eastAsia="pt-BR"/>
      </w:rPr>
      <w:t>4/</w:t>
    </w:r>
    <w:r w:rsidRPr="000519EF">
      <w:rPr>
        <w:rFonts w:ascii="Times New Roman" w:eastAsia="Times New Roman" w:hAnsi="Times New Roman"/>
        <w:b/>
        <w:smallCaps/>
        <w:color w:val="000000"/>
        <w:lang w:eastAsia="pt-BR"/>
      </w:rPr>
      <w:t>2023</w:t>
    </w:r>
    <w:r w:rsidRPr="000519EF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2087"/>
    <w:multiLevelType w:val="multilevel"/>
    <w:tmpl w:val="CA049F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8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81"/>
    <w:rsid w:val="00022C4E"/>
    <w:rsid w:val="000519EF"/>
    <w:rsid w:val="0007079D"/>
    <w:rsid w:val="0007225B"/>
    <w:rsid w:val="000C4848"/>
    <w:rsid w:val="001A21E1"/>
    <w:rsid w:val="001B0EDF"/>
    <w:rsid w:val="00296D30"/>
    <w:rsid w:val="00456068"/>
    <w:rsid w:val="00512881"/>
    <w:rsid w:val="00585C86"/>
    <w:rsid w:val="005964CF"/>
    <w:rsid w:val="0064583E"/>
    <w:rsid w:val="00671CF5"/>
    <w:rsid w:val="007943DB"/>
    <w:rsid w:val="00C5644C"/>
    <w:rsid w:val="00D56466"/>
    <w:rsid w:val="00DA2E1B"/>
    <w:rsid w:val="00DC4DC6"/>
    <w:rsid w:val="00DD131A"/>
    <w:rsid w:val="00E7050E"/>
    <w:rsid w:val="00F11B61"/>
    <w:rsid w:val="00F21D24"/>
    <w:rsid w:val="00F300A0"/>
    <w:rsid w:val="00F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5447B0"/>
  <w15:docId w15:val="{7B41F0EA-8C71-4A34-AC84-11443CE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19</cp:revision>
  <cp:lastPrinted>2023-06-26T14:51:00Z</cp:lastPrinted>
  <dcterms:created xsi:type="dcterms:W3CDTF">2023-06-21T19:00:00Z</dcterms:created>
  <dcterms:modified xsi:type="dcterms:W3CDTF">2023-09-22T13:51:00Z</dcterms:modified>
</cp:coreProperties>
</file>